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CCA4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3A6DF147" w14:textId="77777777" w:rsidR="004D4102" w:rsidRDefault="004D4102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</w:p>
    <w:p w14:paraId="021FCFCF" w14:textId="374A5A10" w:rsidR="003C2227" w:rsidRPr="00F57135" w:rsidRDefault="00F57135" w:rsidP="00F57135">
      <w:pPr>
        <w:spacing w:before="360" w:after="240"/>
        <w:ind w:left="-284" w:right="-284"/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</w:pPr>
      <w:r w:rsidRPr="00F57135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Co</w:t>
      </w:r>
      <w:r w:rsidRPr="00F57135">
        <w:rPr>
          <w:rFonts w:ascii="Calibri Light" w:eastAsia="Arial" w:hAnsi="Calibri Light" w:cs="Arial"/>
          <w:b/>
          <w:iCs/>
          <w:color w:val="263279"/>
          <w:sz w:val="40"/>
          <w:szCs w:val="40"/>
          <w:lang w:val="en-GB" w:eastAsia="de-AT"/>
        </w:rPr>
        <w:t>nspi</w:t>
      </w:r>
      <w:r w:rsidRPr="00F57135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racy Myths. The world of universal</w:t>
      </w:r>
      <w:r w:rsidRPr="00F57135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 xml:space="preserve"> </w:t>
      </w:r>
      <w:r w:rsidRPr="00F57135">
        <w:rPr>
          <w:rFonts w:ascii="Calibri Light" w:eastAsia="Arial" w:hAnsi="Calibri Light" w:cs="Arial"/>
          <w:b/>
          <w:iCs/>
          <w:color w:val="363F83"/>
          <w:sz w:val="40"/>
          <w:szCs w:val="40"/>
          <w:lang w:val="en-GB" w:eastAsia="de-AT"/>
        </w:rPr>
        <w:t>explanations.</w:t>
      </w:r>
    </w:p>
    <w:p w14:paraId="0BC88B47" w14:textId="3D0DF72A" w:rsidR="00F57135" w:rsidRPr="00F57135" w:rsidRDefault="00F57135" w:rsidP="00F57135">
      <w:pPr>
        <w:spacing w:after="120" w:line="240" w:lineRule="auto"/>
        <w:ind w:left="-284"/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</w:pPr>
      <w:r w:rsidRPr="00F57135">
        <w:rPr>
          <w:rFonts w:ascii="Source Sans Pro Light" w:eastAsia="Source Sans Pro" w:hAnsi="Source Sans Pro Light" w:cs="Lato"/>
          <w:b/>
          <w:caps/>
          <w:color w:val="E5362B"/>
          <w:spacing w:val="20"/>
          <w:sz w:val="24"/>
          <w:szCs w:val="24"/>
          <w:lang w:val="en-GB"/>
        </w:rPr>
        <w:t>Module structure</w:t>
      </w:r>
    </w:p>
    <w:tbl>
      <w:tblPr>
        <w:tblW w:w="14891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8"/>
        <w:gridCol w:w="1845"/>
        <w:gridCol w:w="4101"/>
        <w:gridCol w:w="3690"/>
        <w:gridCol w:w="3487"/>
      </w:tblGrid>
      <w:tr w:rsidR="00F57135" w:rsidRPr="00F57135" w14:paraId="0836F2FF" w14:textId="77777777" w:rsidTr="0055592C">
        <w:trPr>
          <w:trHeight w:val="558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A6B4" w14:textId="3767CBD7" w:rsidR="00F57135" w:rsidRPr="00F57135" w:rsidRDefault="00F57135" w:rsidP="0055592C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TEACHING HOURS</w:t>
            </w:r>
          </w:p>
          <w:p w14:paraId="293711B9" w14:textId="77777777" w:rsidR="00F57135" w:rsidRPr="00F57135" w:rsidRDefault="00F57135" w:rsidP="0055592C">
            <w:pPr>
              <w:spacing w:after="0" w:line="240" w:lineRule="auto"/>
              <w:ind w:left="34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(45 min each)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A0E0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TIME NEEDED</w:t>
            </w:r>
          </w:p>
        </w:tc>
        <w:tc>
          <w:tcPr>
            <w:tcW w:w="4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93D5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CONTENT &amp; TEACHER ACTIVITY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31FC8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STUDENT ACTIVITY</w:t>
            </w:r>
          </w:p>
        </w:tc>
        <w:tc>
          <w:tcPr>
            <w:tcW w:w="3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7077B" w14:textId="77777777" w:rsidR="00F57135" w:rsidRPr="00F57135" w:rsidRDefault="00F57135" w:rsidP="0055592C">
            <w:pPr>
              <w:spacing w:after="120" w:line="240" w:lineRule="auto"/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iCs/>
                <w:color w:val="263279"/>
                <w:sz w:val="24"/>
                <w:szCs w:val="24"/>
                <w:lang w:val="en-GB"/>
              </w:rPr>
              <w:t>RESOURCE / METHOD</w:t>
            </w:r>
          </w:p>
        </w:tc>
      </w:tr>
      <w:tr w:rsidR="00F57135" w:rsidRPr="00F57135" w14:paraId="6570449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F14D709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1D8A492A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5D25A261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Introduction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3401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15 min</w:t>
            </w:r>
          </w:p>
          <w:p w14:paraId="4E4DF4C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D13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Brainstorming</w:t>
            </w:r>
          </w:p>
          <w:p w14:paraId="506D951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Introducing the module starting with an initial brainstorming about “conspiracy myths” using PPT slide 4.</w:t>
            </w:r>
          </w:p>
          <w:p w14:paraId="2458A4C8" w14:textId="045D41F6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Open a digital whiteboard to collect all ideas and make them visible.</w:t>
            </w:r>
          </w:p>
          <w:p w14:paraId="77B6456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Leading questions (if needed) are: </w:t>
            </w:r>
          </w:p>
          <w:p w14:paraId="269060F9" w14:textId="77777777" w:rsidR="00F57135" w:rsidRPr="009F1D20" w:rsidRDefault="00F57135" w:rsidP="009F1D2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9F1D20">
              <w:rPr>
                <w:rFonts w:ascii="Source Sans Pro Light" w:hAnsi="Source Sans Pro Light" w:cs="Times New Roman"/>
                <w:bCs/>
                <w:i/>
                <w:lang w:val="en-GB"/>
              </w:rPr>
              <w:t>What comes to your mind? What is a conspiracy myth?</w:t>
            </w:r>
          </w:p>
          <w:p w14:paraId="0BE4F5EB" w14:textId="77777777" w:rsidR="00F57135" w:rsidRPr="009F1D20" w:rsidRDefault="00F57135" w:rsidP="009F1D2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9F1D20">
              <w:rPr>
                <w:rFonts w:ascii="Source Sans Pro Light" w:hAnsi="Source Sans Pro Light" w:cs="Times New Roman"/>
                <w:bCs/>
                <w:i/>
                <w:lang w:val="en-GB"/>
              </w:rPr>
              <w:lastRenderedPageBreak/>
              <w:t>What topics of conspiracy myths, legends, narratives do you know?</w:t>
            </w:r>
          </w:p>
          <w:p w14:paraId="69BAFA75" w14:textId="77777777" w:rsidR="00F57135" w:rsidRPr="009F1D20" w:rsidRDefault="00F57135" w:rsidP="009F1D2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9F1D20">
              <w:rPr>
                <w:rFonts w:ascii="Source Sans Pro Light" w:hAnsi="Source Sans Pro Light" w:cs="Times New Roman"/>
                <w:bCs/>
                <w:i/>
                <w:lang w:val="en-GB"/>
              </w:rPr>
              <w:t>Where did you hear about them?</w:t>
            </w:r>
          </w:p>
          <w:p w14:paraId="0D4097EF" w14:textId="73BF39CA" w:rsidR="00F57135" w:rsidRPr="009F1D20" w:rsidRDefault="00F57135" w:rsidP="0055592C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9F1D20">
              <w:rPr>
                <w:rFonts w:ascii="Source Sans Pro Light" w:hAnsi="Source Sans Pro Light" w:cs="Times New Roman"/>
                <w:bCs/>
                <w:lang w:val="en-GB"/>
              </w:rPr>
              <w:t>Against whom are the conspiratorial accusations directed? Who is blamed? But also: Who is spreading the myths, which type of audience might be targeted/believes in them?</w:t>
            </w:r>
          </w:p>
          <w:p w14:paraId="02117662" w14:textId="77777777" w:rsidR="00F57135" w:rsidRPr="00F57135" w:rsidRDefault="00F57135" w:rsidP="009F1D20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Optional: If time allows, students can be grouped in pairs and discuss the questions in a breakout session prior to the exchange in plenum.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36C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Students state and/or write down comments about what comes to their mind on whiteboard.</w:t>
            </w:r>
          </w:p>
          <w:p w14:paraId="133FD590" w14:textId="78CC0F7D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If an impulse is needed, they can be guided by the outlined questions.</w:t>
            </w:r>
          </w:p>
          <w:p w14:paraId="12F0AD83" w14:textId="77777777" w:rsidR="00F57135" w:rsidRPr="00F57135" w:rsidRDefault="00F57135" w:rsidP="009F1D20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Optional: students are sent into breakouts (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f.e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. grouped in pairs) to brainstorm the questions and write down their findings in a shared doc/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padlet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/etc.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36E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and (in distance learning): digital whiteboard/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padlet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/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F57135" w:rsidRPr="00F57135" w14:paraId="5B082A4A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041452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61D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3071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Case reports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</w:t>
            </w:r>
          </w:p>
          <w:p w14:paraId="0184EDC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Introduce the activity, read the questions on PPT slide 5 and give an example (provided in the table). Transfer the table on slide 5 to an online pad to give students the chance to fill it out.</w:t>
            </w:r>
          </w:p>
          <w:p w14:paraId="772F327C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Share filled out table with plenum, let students present their experiences briefly and save for later.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C6D1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Activity in pairs: Students should think of 1-2 situations they experienced personally and answer the questions in the table.</w:t>
            </w:r>
          </w:p>
          <w:p w14:paraId="7854BD1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Presentation of the cases by each team.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69C5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and (in distance learning): breakout rooms in pairs + table/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padlet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/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</w:p>
        </w:tc>
      </w:tr>
      <w:tr w:rsidR="00F57135" w:rsidRPr="00F57135" w14:paraId="3A678DDB" w14:textId="77777777" w:rsidTr="0055592C">
        <w:trPr>
          <w:trHeight w:val="604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B48AD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FEEFC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10 min</w:t>
            </w:r>
          </w:p>
          <w:p w14:paraId="7BF02717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8CA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>Activity: Introductory Quiz</w:t>
            </w:r>
          </w:p>
          <w:p w14:paraId="13D7A5E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About “conspiracy myths – a marginal or a major phenomenon?”</w:t>
            </w:r>
          </w:p>
          <w:p w14:paraId="530539B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Using the H5P quiz</w:t>
            </w:r>
          </w:p>
          <w:p w14:paraId="0A84A376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gram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the</w:t>
            </w:r>
            <w:proofErr w:type="gram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lecturer could also adapt the quiz with data from the own country, many European countries have been analysed in the YouGov-Cambridge research, or see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Harambam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(2020), pp.1-2.)</w:t>
            </w:r>
          </w:p>
          <w:p w14:paraId="1D7FA84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Share results of the quiz, use them as a source to reflect about expectations and reality in connection to the spread of conspiracy beliefs in Europe and worldwide. </w:t>
            </w:r>
          </w:p>
          <w:p w14:paraId="0C9E3B37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The goal is to reflect on how widely spread conspiratorial beliefs are.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52AC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Students quickly guess the answers by themselves using H5P (or in class by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handsign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), creating a visible </w:t>
            </w:r>
            <w:proofErr w:type="gram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final result</w:t>
            </w:r>
            <w:proofErr w:type="gram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to present after each question.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A51F9" w14:textId="7997722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H5P quiz prepared on </w:t>
            </w:r>
            <w:r w:rsidR="009F1D20" w:rsidRPr="00F57135">
              <w:rPr>
                <w:rFonts w:ascii="Source Sans Pro Light" w:hAnsi="Source Sans Pro Light" w:cs="Times New Roman"/>
                <w:bCs/>
                <w:lang w:val="en-GB"/>
              </w:rPr>
              <w:t>eLearning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platform</w:t>
            </w:r>
          </w:p>
        </w:tc>
      </w:tr>
      <w:tr w:rsidR="00F57135" w:rsidRPr="009F1D20" w14:paraId="3D5CA2A2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1B9E094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42E95553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C7B168A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Definition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674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45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E82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Definition of conspiracy myths</w:t>
            </w:r>
          </w:p>
          <w:p w14:paraId="2123FB3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Introduction in terms and definition using PPT slides 6-19. (See description above for more information on the content.)</w:t>
            </w:r>
          </w:p>
          <w:p w14:paraId="7C68EE5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Slides 6-10 giving an overview about terms and standard definitions, whereas from slide 11 on will be more opportunities to interact: Leading questions are What, Who, </w:t>
            </w:r>
            <w:proofErr w:type="gram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Where</w:t>
            </w:r>
            <w:proofErr w:type="gram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– which can be answered with students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interaction (having brief discussions on each question); questions Why, How, When are more complex and should be presented by the teacher.</w:t>
            </w:r>
          </w:p>
          <w:p w14:paraId="608C07B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Last question ‘When’ will be the bridge to the next chapter (history).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292D" w14:textId="1EE27648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Option a) Activity in plenary: Students provide answers and general ideas and statements about the open questions, brief discussions are possible, but don’t take too much time here.</w:t>
            </w:r>
          </w:p>
          <w:p w14:paraId="4208AAAB" w14:textId="2E73FE46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Option b</w:t>
            </w:r>
            <w:r w:rsidR="004D4102">
              <w:rPr>
                <w:rFonts w:ascii="Source Sans Pro Light" w:hAnsi="Source Sans Pro Light" w:cs="Times New Roman"/>
                <w:bCs/>
                <w:lang w:val="en-GB"/>
              </w:rPr>
              <w:t>)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Question answered in a group activity: Therefor students should form a group for each question and then rotate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between the groups/questions (“World café” method).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3DC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PPT</w:t>
            </w:r>
          </w:p>
          <w:p w14:paraId="5F342C66" w14:textId="4203375B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gram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in</w:t>
            </w:r>
            <w:proofErr w:type="gram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distance learning): breakout rooms/group work</w:t>
            </w:r>
          </w:p>
          <w:p w14:paraId="6F981C45" w14:textId="77777777" w:rsidR="00F57135" w:rsidRPr="00F57135" w:rsidRDefault="00F57135" w:rsidP="009F1D20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Additional: </w:t>
            </w:r>
          </w:p>
          <w:p w14:paraId="39816D6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- Slides 11-23 “summary” as homework</w:t>
            </w:r>
          </w:p>
          <w:p w14:paraId="354E659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1B9BA6D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US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US"/>
              </w:rPr>
              <w:t xml:space="preserve"> </w:t>
            </w:r>
          </w:p>
        </w:tc>
      </w:tr>
      <w:tr w:rsidR="00F57135" w:rsidRPr="00F57135" w14:paraId="139EE7D3" w14:textId="77777777" w:rsidTr="0055592C">
        <w:trPr>
          <w:trHeight w:val="746"/>
        </w:trPr>
        <w:tc>
          <w:tcPr>
            <w:tcW w:w="17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D7E57D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BAE9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FFC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Activity: </w:t>
            </w:r>
            <w:proofErr w:type="spellStart"/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drag’n’drop</w:t>
            </w:r>
            <w:proofErr w:type="spellEnd"/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“Characteristics of Conspiracy Myths”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(optional)</w:t>
            </w:r>
          </w:p>
          <w:p w14:paraId="15C5BFA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to consolidate the new knowledge, students can be asked to conduct this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drag’n’drop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activity either in class or as a follow up at home.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71AC6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105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H5P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drag’n’drop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activity prepared on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elearning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platform</w:t>
            </w:r>
          </w:p>
        </w:tc>
      </w:tr>
      <w:tr w:rsidR="00F57135" w:rsidRPr="00F57135" w14:paraId="576A4E19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33B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BCF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Self-study material and accompanying literature for chapter 1 – Definition:</w:t>
            </w:r>
          </w:p>
          <w:p w14:paraId="74CCCA8F" w14:textId="77777777" w:rsidR="00F57135" w:rsidRPr="004D4102" w:rsidRDefault="00F57135" w:rsidP="004D410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proofErr w:type="spellStart"/>
            <w:r w:rsidRPr="004D4102">
              <w:rPr>
                <w:rFonts w:ascii="Source Sans Pro Light" w:hAnsi="Source Sans Pro Light" w:cs="Times New Roman"/>
                <w:bCs/>
                <w:lang w:val="en-GB"/>
              </w:rPr>
              <w:t>Harambam</w:t>
            </w:r>
            <w:proofErr w:type="spellEnd"/>
            <w:r w:rsidRPr="004D4102">
              <w:rPr>
                <w:rFonts w:ascii="Source Sans Pro Light" w:hAnsi="Source Sans Pro Light" w:cs="Times New Roman"/>
                <w:bCs/>
                <w:lang w:val="en-GB"/>
              </w:rPr>
              <w:t>, J. (2020). Contemporary Conspiracy Culture: Truth and Knowledge in an Era of Epistemic Instability (1st ed.). Routledge.</w:t>
            </w:r>
          </w:p>
          <w:p w14:paraId="6F83BBB2" w14:textId="77777777" w:rsidR="00F57135" w:rsidRPr="004D4102" w:rsidRDefault="00F57135" w:rsidP="004D410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4D4102">
              <w:rPr>
                <w:rFonts w:ascii="Source Sans Pro Light" w:hAnsi="Source Sans Pro Light" w:cs="Times New Roman"/>
                <w:bCs/>
                <w:i/>
                <w:lang w:val="en-GB"/>
              </w:rPr>
              <w:t>Butter, M. and Knight, P. (2020), General Introduction, in M. Butter and P. Knight (eds). Routledge Handbook of Conspiracy Theories (1st ed.). London/New York: Routledge, pp. 1-8.</w:t>
            </w:r>
          </w:p>
          <w:p w14:paraId="2BC47D4C" w14:textId="77777777" w:rsidR="00F57135" w:rsidRPr="004D4102" w:rsidRDefault="00F57135" w:rsidP="004D410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4D4102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COMPACT Education group (Comparative Analysis of Conspiracy Theories) (2020) Guide to Conspiracy Theories, March 2020, </w:t>
            </w:r>
            <w:hyperlink r:id="rId8" w:history="1">
              <w:r w:rsidRPr="004D4102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https://conspiracytheories.eu/_wpx/wp-content/uploads/2020/03/COMPACT_Guide-2.pdf</w:t>
              </w:r>
            </w:hyperlink>
            <w:r w:rsidRPr="004D4102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2C079A29" w14:textId="77777777" w:rsidR="00F57135" w:rsidRPr="004D4102" w:rsidRDefault="00F57135" w:rsidP="004D410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4D4102">
              <w:rPr>
                <w:rFonts w:ascii="Source Sans Pro Light" w:hAnsi="Source Sans Pro Light" w:cs="Times New Roman"/>
                <w:bCs/>
                <w:lang w:val="en-GB"/>
              </w:rPr>
              <w:t>European Commission (</w:t>
            </w:r>
            <w:proofErr w:type="spellStart"/>
            <w:r w:rsidRPr="004D4102">
              <w:rPr>
                <w:rFonts w:ascii="Source Sans Pro Light" w:hAnsi="Source Sans Pro Light" w:cs="Times New Roman"/>
                <w:bCs/>
                <w:lang w:val="en-GB"/>
              </w:rPr>
              <w:t>n.y.</w:t>
            </w:r>
            <w:proofErr w:type="spellEnd"/>
            <w:r w:rsidRPr="004D4102">
              <w:rPr>
                <w:rFonts w:ascii="Source Sans Pro Light" w:hAnsi="Source Sans Pro Light" w:cs="Times New Roman"/>
                <w:bCs/>
                <w:lang w:val="en-GB"/>
              </w:rPr>
              <w:t xml:space="preserve">) Identifying Conspiracy Theories, </w:t>
            </w:r>
            <w:hyperlink r:id="rId9" w:history="1">
              <w:r w:rsidRPr="004D4102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https://ec.europa.eu/info/live-work-travel-eu/coronavirus-response/fighting-disinformation/identifying-conspiracy-theories_en</w:t>
              </w:r>
            </w:hyperlink>
            <w:r w:rsidRPr="004D4102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3AB1F0A9" w14:textId="77777777" w:rsidR="00F57135" w:rsidRPr="004D4102" w:rsidRDefault="00F57135" w:rsidP="004D410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4D4102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YouGov-Cambridge research (2018), </w:t>
            </w:r>
            <w:hyperlink r:id="rId10" w:history="1">
              <w:r w:rsidRPr="004D4102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https://yougov.co.uk/topics/international/articles-reports/2018/12/14/brexit-and-trump-voters-are-more-likely-believe-co</w:t>
              </w:r>
            </w:hyperlink>
            <w:r w:rsidRPr="004D4102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June 2021.</w:t>
            </w:r>
          </w:p>
        </w:tc>
      </w:tr>
      <w:tr w:rsidR="00F57135" w:rsidRPr="00F57135" w14:paraId="1748FD9B" w14:textId="77777777" w:rsidTr="0055592C">
        <w:trPr>
          <w:trHeight w:val="746"/>
        </w:trPr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F298" w14:textId="77777777" w:rsidR="00F57135" w:rsidRPr="00F57135" w:rsidRDefault="00F57135" w:rsidP="004D4102">
            <w:pPr>
              <w:spacing w:after="120" w:line="240" w:lineRule="auto"/>
              <w:ind w:left="34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1-2 teaching hours</w:t>
            </w:r>
          </w:p>
          <w:p w14:paraId="37617F12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</w:p>
          <w:p w14:paraId="3254A4D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Optional activity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343E8" w14:textId="4F44DAD9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60 min</w:t>
            </w:r>
            <w:r w:rsidR="004D410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or more</w:t>
            </w:r>
          </w:p>
          <w:p w14:paraId="5810E4DC" w14:textId="6F1E0213" w:rsidR="00F57135" w:rsidRPr="00F57135" w:rsidRDefault="00F57135" w:rsidP="004D4102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r w:rsidR="004D4102">
              <w:rPr>
                <w:rFonts w:ascii="Source Sans Pro Light" w:hAnsi="Source Sans Pro Light" w:cs="Times New Roman"/>
                <w:bCs/>
                <w:lang w:val="en-GB"/>
              </w:rPr>
              <w:t>D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epending on quantity of participants)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B40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Self-made conspiracy myth</w:t>
            </w:r>
          </w:p>
          <w:p w14:paraId="7EDF4134" w14:textId="6D4290C8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Introduce the interactive role play, reading the instructions. (PPT slide 24)</w:t>
            </w:r>
          </w:p>
          <w:p w14:paraId="7474F027" w14:textId="2DB9287E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Collect statements during reflection on whiteboard to make them visible.</w:t>
            </w:r>
          </w:p>
          <w:p w14:paraId="452E067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Some suggestions for the conclusion of the reflection (</w:t>
            </w:r>
            <w:r w:rsidRPr="00F57135">
              <w:rPr>
                <w:rFonts w:ascii="Source Sans Pro Light" w:hAnsi="Source Sans Pro Light" w:cs="Times New Roman"/>
                <w:bCs/>
                <w:i/>
                <w:lang w:val="en-GB"/>
              </w:rPr>
              <w:t>How did you feel during the discussion?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):</w:t>
            </w:r>
          </w:p>
          <w:p w14:paraId="782DAAEF" w14:textId="3353298A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Group processes: mutually strengthen each other's own narrative</w:t>
            </w:r>
          </w:p>
          <w:p w14:paraId="248AF584" w14:textId="186D5CB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• there might be an imbalance in power: powerful position as a conspiracy believer makes you feel like "the others are actually nothing to us/they know nothing" </w:t>
            </w:r>
          </w:p>
          <w:p w14:paraId="01F97EE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Asking questions (as debunker) requires taking the narrative seriously and accepting premises, that is difficult: do we want that?</w:t>
            </w:r>
          </w:p>
          <w:p w14:paraId="5B86355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0771" w14:textId="61FBCA1F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Role Play:</w:t>
            </w:r>
          </w:p>
          <w:p w14:paraId="110161F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Activity in groups (2-3 groups in total)</w:t>
            </w:r>
          </w:p>
          <w:p w14:paraId="7D188B4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1. Following the instructions and imagining a conspiracy myth. They should not reproduce problematic structures like racism, antisemitism, etc.</w:t>
            </w:r>
          </w:p>
          <w:p w14:paraId="31A3623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2. Groups of students act out in plenum as if they believed in their imagined myth! They should be convincing – other groups are allowed to ask critical questions and express doubts, leading into a discussion which cannot be won by any part. After all groups have finished their presentation and discission:</w:t>
            </w:r>
          </w:p>
          <w:p w14:paraId="3B1AC128" w14:textId="1385EED1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3. reflect on how they felt during each role of the role play.</w:t>
            </w:r>
          </w:p>
          <w:p w14:paraId="0C70DCA6" w14:textId="77777777" w:rsidR="00F57135" w:rsidRPr="00F57135" w:rsidRDefault="00F57135" w:rsidP="004D4102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As conspiracy believers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:</w:t>
            </w:r>
          </w:p>
          <w:p w14:paraId="60CD79DC" w14:textId="6BA24636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• can be fun to approach the matter with a good sense of </w:t>
            </w:r>
            <w:r w:rsidR="004D4102" w:rsidRPr="00F57135">
              <w:rPr>
                <w:rFonts w:ascii="Source Sans Pro Light" w:hAnsi="Source Sans Pro Light" w:cs="Times New Roman"/>
                <w:bCs/>
                <w:lang w:val="en-GB"/>
              </w:rPr>
              <w:t>humour</w:t>
            </w:r>
          </w:p>
          <w:p w14:paraId="45C8D78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Spinning ideas that are then linked further and further</w:t>
            </w:r>
          </w:p>
          <w:p w14:paraId="4501DB8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• Iron out possible logical gaps in advance</w:t>
            </w:r>
          </w:p>
          <w:p w14:paraId="73503A7C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Googling always gives you arguments</w:t>
            </w:r>
          </w:p>
          <w:p w14:paraId="67E0A2D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Cross-references to other stories and myths are always possible and can be easily integrated</w:t>
            </w:r>
          </w:p>
          <w:p w14:paraId="2FD37B8E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creative, imaginary answers are always possible</w:t>
            </w:r>
          </w:p>
          <w:p w14:paraId="5F37B69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776403E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And in the role of the debunking / critical inquirer:</w:t>
            </w:r>
          </w:p>
          <w:p w14:paraId="52F5F72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Maybe difficulties at starting critical discussion and finding a point</w:t>
            </w:r>
          </w:p>
          <w:p w14:paraId="41185FC6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The stories might have been abstract and absurd: makes logical inquiries / questions difficult</w:t>
            </w:r>
          </w:p>
          <w:p w14:paraId="5F1F146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• Maybe special topics are brought up, which unsettle you, because you don’t have the expert knowledge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CB31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PPT and (in distance learning): white board</w:t>
            </w:r>
          </w:p>
        </w:tc>
      </w:tr>
      <w:tr w:rsidR="00F57135" w:rsidRPr="00F57135" w14:paraId="239ABB18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635DEE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1 teaching hour</w:t>
            </w:r>
          </w:p>
          <w:p w14:paraId="3BB420BA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85841E3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>History of conspiracy myths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B6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20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3FCC" w14:textId="77777777" w:rsidR="004D4102" w:rsidRDefault="00F57135" w:rsidP="004D410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Historical input</w:t>
            </w:r>
          </w:p>
          <w:p w14:paraId="17B1A2FC" w14:textId="1C62461B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Follow the PPT slides 2-15, present the content and knowledge provided on the slides and in the explanations above.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628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C69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6D3262F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410CD02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 xml:space="preserve"> </w:t>
            </w:r>
          </w:p>
        </w:tc>
      </w:tr>
      <w:tr w:rsidR="00F57135" w:rsidRPr="00F57135" w14:paraId="208E6B41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084769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49C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25D5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Historical myth revived</w:t>
            </w:r>
          </w:p>
          <w:p w14:paraId="03F959F7" w14:textId="00241B41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 16</w:t>
            </w:r>
          </w:p>
          <w:p w14:paraId="7A6DF78D" w14:textId="04362B30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This activity needs a little additional planning by providing a topic or certain theme of a conspiracy myth that is spread in contemporary time and possibly fits the subject matter of the class/field of study.</w:t>
            </w:r>
          </w:p>
          <w:p w14:paraId="1F54BC58" w14:textId="2D23939C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The activity should include some basic information about the chosen topic, like an online article or image as a starting point.</w:t>
            </w:r>
          </w:p>
          <w:p w14:paraId="10CA4CBF" w14:textId="77777777" w:rsidR="00F57135" w:rsidRPr="00F57135" w:rsidRDefault="00F57135" w:rsidP="004D410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Example: Covid-19 “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plandemic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”</w:t>
            </w:r>
          </w:p>
          <w:p w14:paraId="3BEEE785" w14:textId="77777777" w:rsidR="00F57135" w:rsidRPr="00F57135" w:rsidRDefault="00F57135" w:rsidP="004D410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topic: health in conspiracy myths – finding a responsible person or group for an illness</w:t>
            </w:r>
          </w:p>
          <w:p w14:paraId="5734B2A1" w14:textId="77777777" w:rsidR="00F57135" w:rsidRPr="00F57135" w:rsidRDefault="00F57135" w:rsidP="004D410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then: alleged well-poisoning accusations against Jews</w:t>
            </w:r>
          </w:p>
          <w:p w14:paraId="1BB5B81C" w14:textId="77777777" w:rsidR="00F57135" w:rsidRPr="00F57135" w:rsidRDefault="00F57135" w:rsidP="004D410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today: alleged compulsory vaccinations accusations against Bill Gates</w:t>
            </w:r>
          </w:p>
          <w:p w14:paraId="2564DA0C" w14:textId="77777777" w:rsidR="00F57135" w:rsidRPr="00F57135" w:rsidRDefault="00F57135" w:rsidP="004D4102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history of myths around pandemics: the plague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C6C6" w14:textId="48E29A76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Activity in small groups</w:t>
            </w:r>
          </w:p>
          <w:p w14:paraId="3F1B5CB1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Students work in small groups of 3-4 and follow the instructions (research and reflect) given a contemporary example by teacher or choosing one themselves.</w:t>
            </w:r>
          </w:p>
          <w:p w14:paraId="17BFC61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331E7D3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33B6E7F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4F34" w14:textId="6C004169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and</w:t>
            </w:r>
            <w:r w:rsidR="004D4102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(in distance learning):</w:t>
            </w:r>
          </w:p>
          <w:p w14:paraId="2FF336E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Breakout rooms and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padlet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(or similar)</w:t>
            </w:r>
          </w:p>
        </w:tc>
      </w:tr>
      <w:tr w:rsidR="00F57135" w:rsidRPr="00F57135" w14:paraId="5E2C8D94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B55197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D171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FB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Drag the words “History of Conspiracy Myths” (optional)</w:t>
            </w:r>
          </w:p>
          <w:p w14:paraId="3335081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to consolidate the new knowledge, students can be asked to conduct this drag the words activity.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C5DC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7386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H5P drag the words activity prepared on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elearning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platform</w:t>
            </w:r>
          </w:p>
        </w:tc>
      </w:tr>
      <w:tr w:rsidR="00F57135" w:rsidRPr="00F57135" w14:paraId="0B0914A9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5AC1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7ED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Self-study material and accompanying literature for chapter 2 – History:</w:t>
            </w:r>
          </w:p>
          <w:p w14:paraId="669D117D" w14:textId="77777777" w:rsidR="00F57135" w:rsidRPr="008036EE" w:rsidRDefault="00F57135" w:rsidP="008036EE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 xml:space="preserve">McKenzie-McHarg, A. (2020), Conceptual history and conspiracy theory, </w:t>
            </w: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in M. Butter and P. Knight (eds). Routledge Handbook of Conspiracy Theories (1st ed.). London/New York: Routledge, </w:t>
            </w:r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>pp. 16-27.</w:t>
            </w:r>
          </w:p>
          <w:p w14:paraId="32B4CD44" w14:textId="77777777" w:rsidR="00F57135" w:rsidRPr="008036EE" w:rsidRDefault="00F57135" w:rsidP="008036EE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Nocun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, K. (2020) "It must be a plot!" – Coronavirus conspiracy theorists take to streets in Germany, Heinrich 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Böll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Stiftung, 20 September 2020, </w:t>
            </w:r>
            <w:hyperlink r:id="rId11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https://eu.boell.org/en/2020/09/10/it-must-be-plot-coronavirus-conspiracy-theorists-take-streets-germany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5D336FE9" w14:textId="77777777" w:rsidR="00F57135" w:rsidRPr="008036EE" w:rsidRDefault="00F57135" w:rsidP="008036EE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lang w:val="de-AT"/>
              </w:rPr>
              <w:t xml:space="preserve">Wippermann, W. (2007) Agenten des Bösen. </w:t>
            </w:r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 xml:space="preserve">Berlin: 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>be.bra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>.</w:t>
            </w:r>
          </w:p>
          <w:p w14:paraId="19591F0E" w14:textId="77777777" w:rsidR="00F57135" w:rsidRPr="008036EE" w:rsidRDefault="00F57135" w:rsidP="008036EE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Wikipedia (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n.y.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), List of conspiracy theories. </w:t>
            </w:r>
            <w:hyperlink r:id="rId12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https://en.wikipedia.org/wiki/List_of_conspiracy_theories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</w:tc>
      </w:tr>
      <w:tr w:rsidR="00F57135" w:rsidRPr="00F57135" w14:paraId="28504289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6A503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 teaching hours</w:t>
            </w:r>
          </w:p>
          <w:p w14:paraId="6793358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15785747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Ideology of conspiracy myths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083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4CD9" w14:textId="77777777" w:rsidR="00F57135" w:rsidRPr="00F57135" w:rsidRDefault="00F57135" w:rsidP="008036EE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Input</w:t>
            </w:r>
          </w:p>
          <w:p w14:paraId="26F9E80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Characteristics and functions of conspiracy ideology</w:t>
            </w:r>
          </w:p>
          <w:p w14:paraId="5C46AA5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slides 4-9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5B26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F7E7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5F53AE3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F57135" w:rsidRPr="00F57135" w14:paraId="31899477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155C96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9FA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06F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Activity: Group discussion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on functions of conspiracy myths</w:t>
            </w:r>
          </w:p>
          <w:p w14:paraId="549DF84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 10</w:t>
            </w:r>
          </w:p>
          <w:p w14:paraId="4B4ACCD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FA1BA37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Teacher should explain the instructions and let students start a discussion about the questions in small groups.</w:t>
            </w:r>
          </w:p>
          <w:p w14:paraId="4A717C7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Take notes on students’ statements.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9D3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Discussion can initially be started in pairs or small groups.</w:t>
            </w:r>
          </w:p>
          <w:p w14:paraId="64B8ACE7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After 10: presentation and discussion in plenum</w:t>
            </w:r>
          </w:p>
          <w:p w14:paraId="1BCE120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76E6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and (in distance learning):</w:t>
            </w:r>
          </w:p>
          <w:p w14:paraId="2F9F3F28" w14:textId="0B5EE556" w:rsidR="00F57135" w:rsidRPr="00F57135" w:rsidRDefault="00F57135" w:rsidP="008036EE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Breakout rooms,</w:t>
            </w:r>
            <w:r w:rsidR="008036EE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online whiteboard/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/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padlet</w:t>
            </w:r>
            <w:proofErr w:type="spellEnd"/>
          </w:p>
          <w:p w14:paraId="0B46ADE3" w14:textId="77777777" w:rsidR="00F57135" w:rsidRPr="00F57135" w:rsidRDefault="00F57135" w:rsidP="008036EE">
            <w:pPr>
              <w:spacing w:after="120" w:line="240" w:lineRule="auto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(</w:t>
            </w:r>
            <w:proofErr w:type="gram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maybe</w:t>
            </w:r>
            <w:proofErr w:type="gram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world café method)</w:t>
            </w:r>
          </w:p>
        </w:tc>
      </w:tr>
      <w:tr w:rsidR="00F57135" w:rsidRPr="00F57135" w14:paraId="3D4C9060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115926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B7F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8002" w14:textId="2F6DB8D9" w:rsidR="008036EE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Inputs</w:t>
            </w:r>
          </w:p>
          <w:p w14:paraId="3FBC68B9" w14:textId="77777777" w:rsidR="00F57135" w:rsidRPr="00F57135" w:rsidRDefault="00F57135" w:rsidP="008036EE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correlation with other ideologies</w:t>
            </w:r>
          </w:p>
          <w:p w14:paraId="3A0A470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 11</w:t>
            </w:r>
          </w:p>
          <w:p w14:paraId="37542F9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link to antisemitism</w:t>
            </w:r>
          </w:p>
          <w:p w14:paraId="33B1747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slides 12-15</w:t>
            </w:r>
          </w:p>
          <w:p w14:paraId="39CEBCB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danger of conspiracy ideology</w:t>
            </w:r>
          </w:p>
          <w:p w14:paraId="1F4F4719" w14:textId="1F593ACB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 16</w:t>
            </w:r>
          </w:p>
          <w:p w14:paraId="3F67432E" w14:textId="77777777" w:rsidR="00F57135" w:rsidRPr="00F57135" w:rsidRDefault="00F57135" w:rsidP="008036EE">
            <w:pPr>
              <w:spacing w:before="240"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Address upcoming questions directly!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FEE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Students can interact and involve during the inputs (see open questions on slides).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7AF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2381A69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3FE1321E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F57135" w:rsidRPr="00F57135" w14:paraId="6A47A94C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B86CC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045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763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Activity: Group discussion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on ideological meta narrative (slide 17)</w:t>
            </w:r>
          </w:p>
          <w:p w14:paraId="18DE332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The activity is a combination of a research task and group discussion. The teacher reads the instruction and provides ideas about the examples.</w:t>
            </w:r>
          </w:p>
          <w:p w14:paraId="1F5D5AF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The exercise can also be carried out with the same historical example (here “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plandemic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”) 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or replaced by a new example that matches the subject.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F8D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Activity in pairs or small groups.</w:t>
            </w:r>
          </w:p>
          <w:p w14:paraId="7E3429E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At first following the research task and instructions, then discussion in plenum.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D47E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and (in distance learning):</w:t>
            </w:r>
          </w:p>
          <w:p w14:paraId="493CC18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Breakout rooms, online whiteboard/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jamboard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/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padlet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Online search tool/ Google</w:t>
            </w:r>
          </w:p>
          <w:p w14:paraId="3ADA785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F57135" w:rsidRPr="00F57135" w14:paraId="213526A2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6C6F0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C87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Self-study material and accompanying literature for chapter 3 – Ideology</w:t>
            </w:r>
          </w:p>
          <w:p w14:paraId="3B6970EC" w14:textId="77777777" w:rsidR="00F57135" w:rsidRPr="008036EE" w:rsidRDefault="00F57135" w:rsidP="008036EE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ADL Global 100: An Index of Anti-Semitism (2019), </w:t>
            </w:r>
            <w:hyperlink r:id="rId13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https://global100.adl.org/map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571DD298" w14:textId="77777777" w:rsidR="00F57135" w:rsidRPr="008036EE" w:rsidRDefault="00F57135" w:rsidP="008036EE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Barkun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Michael (2003) Culture of Conspiracy: Apocalyptic Visions in Contemporary America. Berkeley. University of California Press, 2003.</w:t>
            </w:r>
          </w:p>
          <w:p w14:paraId="2E24FF4A" w14:textId="77777777" w:rsidR="00F57135" w:rsidRPr="008036EE" w:rsidRDefault="00F57135" w:rsidP="008036EE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Cubitt, Geoffrey (1989) ‘Conspiracy Myths and Conspiracy Theories’, Journal of the Anthropological Society of Oxford, 20(1): 12–26.</w:t>
            </w:r>
          </w:p>
          <w:p w14:paraId="5C628D34" w14:textId="77777777" w:rsidR="00F57135" w:rsidRPr="008036EE" w:rsidRDefault="00F57135" w:rsidP="008036EE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Butter, M. and Knight, P. (2020), General Introduction, in M. Butter and P. Knight (eds). Routledge Handbook of Conspiracy Theories (1st ed.). London/New York: Routledge, pp. 1-8.</w:t>
            </w:r>
          </w:p>
          <w:p w14:paraId="4BCFDD21" w14:textId="77777777" w:rsidR="00F57135" w:rsidRPr="008036EE" w:rsidRDefault="00F57135" w:rsidP="008036EE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Farinelli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, F. and Radicalisation Awareness Network and European Commission (2021) Conspiracy theories and right-wing extremism – Insights and recommendations for P/CVE, </w:t>
            </w:r>
            <w:hyperlink r:id="rId14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https://ec.europa.eu/home-affairs/sites/default/files/what-we-do/networks/radicalisation_awareness_network/ran-papers/docs/ran_conspiracy_theories_and_right-wing_2021_en.pdf</w:t>
              </w:r>
            </w:hyperlink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>, accessed 20 May 2021.</w:t>
            </w:r>
          </w:p>
          <w:p w14:paraId="006321A5" w14:textId="77777777" w:rsidR="00F57135" w:rsidRPr="008036EE" w:rsidRDefault="00F57135" w:rsidP="008036EE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>European Commission (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>n.y.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 xml:space="preserve">) Identifying Conspiracy Theories, </w:t>
            </w:r>
            <w:hyperlink r:id="rId15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https://ec.europa.eu/info/live-work-travel-eu/coronavirus-response/fighting-disinformation/identifying-conspiracy-theories_en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760E6492" w14:textId="77777777" w:rsidR="00F57135" w:rsidRPr="008036EE" w:rsidRDefault="00F57135" w:rsidP="008036EE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Simonson, K. B. (2020), Antisemitism and 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Conspiracism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in M. Butter and P. Knight (eds). Routledge Handbook of Conspiracy Theories (1st ed.). London/New York: Routledge, pp. 357-370.</w:t>
            </w:r>
          </w:p>
        </w:tc>
      </w:tr>
      <w:tr w:rsidR="00F57135" w:rsidRPr="00F57135" w14:paraId="64734DA6" w14:textId="77777777" w:rsidTr="0055592C">
        <w:trPr>
          <w:trHeight w:val="746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F17E4CE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 teaching hour</w:t>
            </w:r>
          </w:p>
          <w:p w14:paraId="22B15F0C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9980948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Forms of practise and expression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D24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577E" w14:textId="77777777" w:rsidR="00F57135" w:rsidRPr="00F57135" w:rsidRDefault="00F57135" w:rsidP="008036EE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Input:</w:t>
            </w:r>
          </w:p>
          <w:p w14:paraId="42616B3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Forms of practise and expression</w:t>
            </w:r>
          </w:p>
          <w:p w14:paraId="2E5B134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 3-6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FF6D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Students’ interaction: debate the symbols – which ones did you know and from which context?</w:t>
            </w:r>
          </w:p>
          <w:p w14:paraId="54AC903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 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2AD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5BE8DE3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FA267C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F57135" w:rsidRPr="00F57135" w14:paraId="5F3FBA74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76C0C8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8C9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CE0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Image/text analysis</w:t>
            </w:r>
          </w:p>
          <w:p w14:paraId="5E33A83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 slide 7</w:t>
            </w:r>
          </w:p>
          <w:p w14:paraId="7EC9901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Show the images provided in the “antisemitic imagery” booklet by Antisemitism Policy Trust (2020), pp. 5 and 14 (don’t show the whole booklet as the other picture on p.14 should be saved for later use), accompanied by the questions on the slide as a starting point.</w:t>
            </w:r>
          </w:p>
          <w:p w14:paraId="15A8A23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Both images are featured in the “antisemitic imagery” booklet and described in their meaning and significance – read the part of the booklet as quoted in the PPT notes of the slides (or module structure information) to start the discussion.</w:t>
            </w:r>
          </w:p>
          <w:p w14:paraId="0164AB5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Teacher should note the students’ statements.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E16C1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Discuss the symbols on PPT slide 7</w:t>
            </w:r>
          </w:p>
          <w:p w14:paraId="4D8B9E0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03AC64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Students discuss either in small groups, having a picture for each group to describe and analyse with the questions on the slide, then having them present their outcome in plenum.</w:t>
            </w:r>
          </w:p>
          <w:p w14:paraId="69D47AE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Or together in plenum with all students, collecting the answers on board or discussing them altogether.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370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PPT</w:t>
            </w:r>
          </w:p>
          <w:p w14:paraId="6CFBB4C1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0F52317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F57135" w:rsidRPr="00F57135" w14:paraId="0534B36E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0DE64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6B8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Self-study material and accompanying literature for chapter 4 – Forms</w:t>
            </w:r>
          </w:p>
          <w:p w14:paraId="63EA2C00" w14:textId="77777777" w:rsidR="00F57135" w:rsidRPr="008036EE" w:rsidRDefault="00F57135" w:rsidP="008036EE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Antisemitism Policy Trust (2020) Antisemitic Imagery, </w:t>
            </w:r>
            <w:hyperlink r:id="rId16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https://antisemitism.org.uk/wp-content/uploads/2020/07/Antisemitic-imagery-May-2020.pdf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29A6F5E9" w14:textId="77777777" w:rsidR="00F57135" w:rsidRPr="008036EE" w:rsidRDefault="00F57135" w:rsidP="008036EE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Aupers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S. (2020) Decoding mass media/ encoding conspiracy theory,</w:t>
            </w:r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in M. Butter and P. Knight (eds). Routledge Handbook of Conspiracy Theories (1st ed.). London/New York: Routledge, pp. 469-482.</w:t>
            </w:r>
          </w:p>
        </w:tc>
      </w:tr>
      <w:tr w:rsidR="00F57135" w:rsidRPr="00F57135" w14:paraId="076FB7C8" w14:textId="77777777" w:rsidTr="008036EE">
        <w:trPr>
          <w:trHeight w:val="332"/>
        </w:trPr>
        <w:tc>
          <w:tcPr>
            <w:tcW w:w="176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D436E3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 teaching hours</w:t>
            </w:r>
          </w:p>
          <w:p w14:paraId="554A7795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24DA7628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>Strategies: Identifying and dealing with conspiracy myths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AD0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10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DC5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Input: Identifying conspiracy myths</w:t>
            </w:r>
          </w:p>
          <w:p w14:paraId="19522C35" w14:textId="77777777" w:rsidR="00F57135" w:rsidRPr="00F57135" w:rsidRDefault="00F57135" w:rsidP="008036EE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Present the following input slides, PPT slide 5-7:</w:t>
            </w:r>
          </w:p>
          <w:p w14:paraId="0076BA0F" w14:textId="77777777" w:rsidR="00F57135" w:rsidRPr="00F57135" w:rsidRDefault="00F57135" w:rsidP="008036EE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1) checklist</w:t>
            </w:r>
          </w:p>
          <w:p w14:paraId="65CC8BE4" w14:textId="77777777" w:rsidR="00F57135" w:rsidRPr="00F57135" w:rsidRDefault="00F57135" w:rsidP="008036EE">
            <w:pPr>
              <w:spacing w:after="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lastRenderedPageBreak/>
              <w:t>2) Source criticism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9DBE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6741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7ACCEB5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226E95A6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F57135" w:rsidRPr="00F57135" w14:paraId="10FBCF9D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EA2927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B18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8B9E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Activity: Source criticism exercise </w:t>
            </w:r>
          </w:p>
          <w:p w14:paraId="4073A66B" w14:textId="55B90185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After presenting the instructions on PPT slide 8 and showing the linked picture, students work on their own for about 20 min minimum.</w:t>
            </w:r>
          </w:p>
          <w:p w14:paraId="1556BEBD" w14:textId="357C38DD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During the </w:t>
            </w:r>
            <w:proofErr w:type="gram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work-time</w:t>
            </w:r>
            <w:proofErr w:type="gram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the PPT slides about source criticism should be visible (slide 6), as well as the instructions (slide 8) and the picture itself (slide 9).</w:t>
            </w:r>
          </w:p>
          <w:p w14:paraId="3BE01E1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The teacher should be prepared and have read the module specification carefully: This activity is supposed to be a bit of a mystery hunt!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4D5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Activity in small groups.</w:t>
            </w:r>
          </w:p>
          <w:p w14:paraId="46EB0A86" w14:textId="77777777" w:rsidR="008036EE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starting point is a picture - a "meme": a combination of a quote and a picture. The students should work in small groups in two steps: </w:t>
            </w:r>
          </w:p>
          <w:p w14:paraId="60D4311D" w14:textId="799E3F30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1) As previously learned in the input on source criticism, they should first describe and then conduct research.</w:t>
            </w:r>
          </w:p>
          <w:p w14:paraId="476D00F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2) After this analysis, the small groups come back to the plenary discussion and report on their source-critical findings – the evaluation.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A34D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PPT, online research tools/ Google</w:t>
            </w:r>
          </w:p>
          <w:p w14:paraId="57599EF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and (in distance learning):</w:t>
            </w:r>
          </w:p>
          <w:p w14:paraId="2433CCBC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Breakout rooms</w:t>
            </w:r>
          </w:p>
          <w:p w14:paraId="724216D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6C725DE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US"/>
              </w:rPr>
            </w:pPr>
          </w:p>
          <w:p w14:paraId="7A89BBF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US"/>
              </w:rPr>
            </w:pPr>
          </w:p>
        </w:tc>
      </w:tr>
      <w:tr w:rsidR="00F57135" w:rsidRPr="00F57135" w14:paraId="066359F2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588364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6681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07CE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Input: dealing with conspiracy myths</w:t>
            </w:r>
          </w:p>
          <w:p w14:paraId="1CEB1365" w14:textId="56D2776E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Triangle of coping (PPT slide 11)</w:t>
            </w:r>
          </w:p>
          <w:p w14:paraId="092A5725" w14:textId="1ACFF769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Discuss the Factual and personal level (PPT slide 12)</w:t>
            </w:r>
          </w:p>
          <w:p w14:paraId="385DD3B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Students should be made aware of their future role as teachers; they should consider finding themselves in the position of a teacher talking with their students.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5448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Students can give input on what they believe might be a good dealing strategy and can position themselves on the scale of the triangle, between factual, </w:t>
            </w:r>
            <w:proofErr w:type="gram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personal</w:t>
            </w:r>
            <w:proofErr w:type="gram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and other strategies.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0CA5" w14:textId="05DEFE6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  <w:p w14:paraId="706F0283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6DC053F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  <w:tr w:rsidR="00F57135" w:rsidRPr="00F57135" w14:paraId="16568107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7E5994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533E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45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9282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Activity: Debunking magnifier</w:t>
            </w:r>
          </w:p>
          <w:p w14:paraId="4B35FD3D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(PPT slide 13)</w:t>
            </w:r>
          </w:p>
          <w:p w14:paraId="64A81D1D" w14:textId="37534A3E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Working with the cases of personal experience with conspiracy belief we collected in the first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chaper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(or repeat the activity “case reports”):</w:t>
            </w:r>
          </w:p>
          <w:p w14:paraId="4AABEFD1" w14:textId="1153F0DC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Teacher selects one reported case for each 4-5 students. The student who reported the case in the first place must be in the respective group.</w:t>
            </w:r>
          </w:p>
          <w:p w14:paraId="6A263594" w14:textId="5C4BF492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Talk through the instructions and let students work in groups for 25 minutes.</w:t>
            </w:r>
          </w:p>
          <w:p w14:paraId="56E26BAC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In plenum take visible notes about the strategies mentioned in point III.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9267" w14:textId="68F27E45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Activity in groups of 4-5.</w:t>
            </w:r>
          </w:p>
          <w:p w14:paraId="2131AAEF" w14:textId="39E31939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Students follow the instructions on PPT slide 14 and discuss and take notes.</w:t>
            </w:r>
          </w:p>
          <w:p w14:paraId="097750C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Presentation in plenum after 25 min.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378A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PPT</w:t>
            </w:r>
          </w:p>
        </w:tc>
      </w:tr>
      <w:tr w:rsidR="00F57135" w:rsidRPr="00F57135" w14:paraId="1F5C32E8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A09F7F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7639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15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2D3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Activity: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</w:t>
            </w:r>
            <w:proofErr w:type="spellStart"/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Drag’n’drop</w:t>
            </w:r>
            <w:proofErr w:type="spellEnd"/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 xml:space="preserve"> “Conspiracy Myth or Criticism?” (optional)</w:t>
            </w:r>
          </w:p>
          <w:p w14:paraId="32F18B6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to reflect upon the fine lines between a conspiratorial and critical world view, students can be asked to conduct this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drag’n’drop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activity.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45F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9E8C" w14:textId="626322F4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H5P </w:t>
            </w:r>
            <w:proofErr w:type="spellStart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drag’n’drop</w:t>
            </w:r>
            <w:proofErr w:type="spellEnd"/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activity prepared on </w:t>
            </w:r>
            <w:r w:rsidR="008036EE" w:rsidRPr="00F57135">
              <w:rPr>
                <w:rFonts w:ascii="Source Sans Pro Light" w:hAnsi="Source Sans Pro Light" w:cs="Times New Roman"/>
                <w:bCs/>
                <w:lang w:val="en-GB"/>
              </w:rPr>
              <w:t>eLearning</w:t>
            </w: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 xml:space="preserve"> platform</w:t>
            </w:r>
          </w:p>
        </w:tc>
      </w:tr>
      <w:tr w:rsidR="00F57135" w:rsidRPr="00F57135" w14:paraId="2B5CAC3B" w14:textId="77777777" w:rsidTr="0055592C">
        <w:trPr>
          <w:trHeight w:val="746"/>
        </w:trPr>
        <w:tc>
          <w:tcPr>
            <w:tcW w:w="1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C427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131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C5CB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Self-study material and accompanying literature for chapter 5 – Strategies:</w:t>
            </w:r>
          </w:p>
          <w:p w14:paraId="6F5EA402" w14:textId="77777777" w:rsidR="00F57135" w:rsidRPr="008036EE" w:rsidRDefault="00F57135" w:rsidP="008036E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lastRenderedPageBreak/>
              <w:t xml:space="preserve">Antisemitism Policy Trust (2020) Antisemitic Imagery, </w:t>
            </w:r>
            <w:hyperlink r:id="rId17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https://antisemitism.org.uk/wp-content/uploads/2020/07/Antisemitic-imagery-May-2020.pdf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1CC6C176" w14:textId="77777777" w:rsidR="00F57135" w:rsidRPr="008036EE" w:rsidRDefault="00F57135" w:rsidP="008036E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de-AT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de-AT"/>
              </w:rPr>
              <w:t xml:space="preserve">Antonio Amadeu Stiftung (2020) Wissen was wirklich gespielt wird. Projekt 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de-AT"/>
              </w:rPr>
              <w:t>No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de-AT"/>
              </w:rPr>
              <w:t xml:space="preserve"> World Order. Handeln gegen Verschwörungsideologien,  </w:t>
            </w:r>
            <w:hyperlink r:id="rId18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de-AT"/>
                </w:rPr>
                <w:t>https://www.amadeu-antonio-stiftung.de/wp-content/uploads/2020/05/wissen_was_wirklich_2.Auflage.pdf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de-AT"/>
              </w:rPr>
              <w:t xml:space="preserve">, 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de-AT"/>
              </w:rPr>
              <w:t>accessed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de-AT"/>
              </w:rPr>
              <w:t xml:space="preserve"> 20 May 2021.</w:t>
            </w:r>
          </w:p>
          <w:p w14:paraId="0FF89287" w14:textId="77777777" w:rsidR="00F57135" w:rsidRPr="008036EE" w:rsidRDefault="00F57135" w:rsidP="008036E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>European Commission (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>n.y.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lang w:val="en-GB"/>
              </w:rPr>
              <w:t xml:space="preserve">) Identifying Conspiracy Theories, </w:t>
            </w:r>
            <w:hyperlink r:id="rId19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https://ec.europa.eu/info/live-work-travel-eu/coronavirus-response/fighting-disinformation/identifying-conspiracy-theories_en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4E1A0388" w14:textId="77777777" w:rsidR="00F57135" w:rsidRPr="008036EE" w:rsidRDefault="00F57135" w:rsidP="008036E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Hunt, E. (2015) Cory </w:t>
            </w:r>
            <w:proofErr w:type="spellStart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Bernardi</w:t>
            </w:r>
            <w:proofErr w:type="spellEnd"/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 mistakenly 'quotes' Voltaire on Twitter with neo-Nazi's line, the guardian, 27 November 2015, </w:t>
            </w:r>
            <w:hyperlink r:id="rId20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https://www.theguardian.com/australia-news/2015/nov/27/cory-bernardi-mistakenly-quotes-voltaire-on-twitter-with-supposed-neo-nazis-line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  <w:p w14:paraId="570664FA" w14:textId="77777777" w:rsidR="00F57135" w:rsidRPr="008036EE" w:rsidRDefault="00F57135" w:rsidP="008036EE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i/>
                <w:lang w:val="en-GB"/>
              </w:rPr>
            </w:pPr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 xml:space="preserve">Pitt, B. (2020) Antisemitism and a ‘Voltaire’ quote, medium.com, 20 September 2020, </w:t>
            </w:r>
            <w:hyperlink r:id="rId21" w:history="1">
              <w:r w:rsidRPr="008036EE">
                <w:rPr>
                  <w:rStyle w:val="Hyperlink"/>
                  <w:rFonts w:ascii="Source Sans Pro Light" w:hAnsi="Source Sans Pro Light" w:cs="Times New Roman"/>
                  <w:bCs/>
                  <w:i/>
                  <w:lang w:val="en-GB"/>
                </w:rPr>
                <w:t>https://medium.com/@pitt_bob/antisemitism-and-a-voltaire-quote-9d06172c944f</w:t>
              </w:r>
            </w:hyperlink>
            <w:r w:rsidRPr="008036EE">
              <w:rPr>
                <w:rFonts w:ascii="Source Sans Pro Light" w:hAnsi="Source Sans Pro Light" w:cs="Times New Roman"/>
                <w:bCs/>
                <w:i/>
                <w:lang w:val="en-GB"/>
              </w:rPr>
              <w:t>, accessed 20 May 2021.</w:t>
            </w:r>
          </w:p>
        </w:tc>
      </w:tr>
      <w:tr w:rsidR="00F57135" w:rsidRPr="00F57135" w14:paraId="43C770EA" w14:textId="77777777" w:rsidTr="0055592C">
        <w:trPr>
          <w:trHeight w:val="746"/>
        </w:trPr>
        <w:tc>
          <w:tcPr>
            <w:tcW w:w="1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80C02" w14:textId="77777777" w:rsidR="00F57135" w:rsidRPr="00F57135" w:rsidRDefault="00F57135" w:rsidP="0055592C">
            <w:pPr>
              <w:spacing w:after="120" w:line="240" w:lineRule="auto"/>
              <w:ind w:left="34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lastRenderedPageBreak/>
              <w:t>Summary and reflection (optional)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6185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20 min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1F6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/>
                <w:bCs/>
                <w:lang w:val="en-GB"/>
              </w:rPr>
              <w:t>Reflection and concluding remarks on the module</w:t>
            </w:r>
          </w:p>
          <w:p w14:paraId="2C4BB404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Reflect on the lessons – what have we learned considering research and critical thinking?</w:t>
            </w:r>
          </w:p>
          <w:p w14:paraId="6F45C6E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  <w:p w14:paraId="62EBB3E0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0883F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  <w:r w:rsidRPr="00F57135">
              <w:rPr>
                <w:rFonts w:ascii="Source Sans Pro Light" w:hAnsi="Source Sans Pro Light" w:cs="Times New Roman"/>
                <w:bCs/>
                <w:lang w:val="en-GB"/>
              </w:rPr>
              <w:t>Let students summarise and reflect on what they’ve taken from the lessons, what they will keep in mind, what they liked and disliked following the questions on the slide.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93A2" w14:textId="77777777" w:rsidR="00F57135" w:rsidRPr="00F57135" w:rsidRDefault="00F57135" w:rsidP="0055592C">
            <w:pPr>
              <w:spacing w:after="120" w:line="240" w:lineRule="auto"/>
              <w:jc w:val="both"/>
              <w:rPr>
                <w:rFonts w:ascii="Source Sans Pro Light" w:hAnsi="Source Sans Pro Light" w:cs="Times New Roman"/>
                <w:bCs/>
                <w:lang w:val="en-GB"/>
              </w:rPr>
            </w:pPr>
          </w:p>
        </w:tc>
      </w:tr>
    </w:tbl>
    <w:p w14:paraId="718A7592" w14:textId="6EAAF833" w:rsidR="00AE22FD" w:rsidRPr="003C2227" w:rsidRDefault="00AE22FD" w:rsidP="00AE22FD">
      <w:pPr>
        <w:spacing w:after="120" w:line="276" w:lineRule="auto"/>
        <w:ind w:left="-284"/>
        <w:jc w:val="both"/>
        <w:rPr>
          <w:rFonts w:ascii="Source Sans Pro Light" w:hAnsi="Source Sans Pro Light" w:cs="Times New Roman"/>
          <w:bCs/>
          <w:lang w:val="en-US"/>
        </w:rPr>
      </w:pPr>
    </w:p>
    <w:sectPr w:rsidR="00AE22FD" w:rsidRPr="003C2227" w:rsidSect="004D4102">
      <w:headerReference w:type="default" r:id="rId22"/>
      <w:footerReference w:type="even" r:id="rId23"/>
      <w:footerReference w:type="default" r:id="rId24"/>
      <w:headerReference w:type="first" r:id="rId25"/>
      <w:pgSz w:w="16838" w:h="11906" w:orient="landscape"/>
      <w:pgMar w:top="2245" w:right="1134" w:bottom="991" w:left="992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FD53" w14:textId="77777777" w:rsidR="007A5C9A" w:rsidRDefault="007A5C9A" w:rsidP="00094809">
      <w:pPr>
        <w:spacing w:after="0" w:line="240" w:lineRule="auto"/>
      </w:pPr>
      <w:r>
        <w:separator/>
      </w:r>
    </w:p>
  </w:endnote>
  <w:endnote w:type="continuationSeparator" w:id="0">
    <w:p w14:paraId="360CE79F" w14:textId="77777777" w:rsidR="007A5C9A" w:rsidRDefault="007A5C9A" w:rsidP="000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604020202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403030403090204"/>
    <w:charset w:val="00"/>
    <w:family w:val="swiss"/>
    <w:notTrueType/>
    <w:pitch w:val="variable"/>
    <w:sig w:usb0="600002F7" w:usb1="00000003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54EE" w14:textId="77777777" w:rsidR="00094809" w:rsidRPr="00094809" w:rsidRDefault="00094809" w:rsidP="00094809">
    <w:pPr>
      <w:pStyle w:val="Footer"/>
      <w:tabs>
        <w:tab w:val="clear" w:pos="9072"/>
      </w:tabs>
      <w:ind w:left="-567" w:right="-42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ECBA" w14:textId="3F0B7058" w:rsidR="00094809" w:rsidRPr="003C2227" w:rsidRDefault="00094809" w:rsidP="003C2227">
    <w:pPr>
      <w:spacing w:after="0" w:line="240" w:lineRule="auto"/>
      <w:ind w:left="-567" w:right="-426"/>
      <w:jc w:val="center"/>
      <w:rPr>
        <w:rFonts w:ascii="Lato" w:hAnsi="Lato" w:cs="Lato"/>
        <w:color w:val="E5362B"/>
        <w:sz w:val="16"/>
        <w:szCs w:val="16"/>
        <w:lang w:val="en-GB"/>
      </w:rPr>
    </w:pPr>
    <w:r w:rsidRPr="003C2227">
      <w:rPr>
        <w:rFonts w:ascii="Lato" w:hAnsi="Lato" w:cs="Lato"/>
        <w:color w:val="E5362B"/>
        <w:sz w:val="16"/>
        <w:szCs w:val="16"/>
        <w:lang w:val="en-GB"/>
      </w:rPr>
      <w:t>ERUM – Enhancing Research Understanding through Media (2019-1-AT01-KA203-051482)</w:t>
    </w:r>
    <w:r w:rsidR="003C2227">
      <w:rPr>
        <w:rFonts w:ascii="Lato" w:hAnsi="Lato" w:cs="Lato"/>
        <w:color w:val="E5362B"/>
        <w:sz w:val="16"/>
        <w:szCs w:val="16"/>
        <w:lang w:val="en-GB"/>
      </w:rPr>
      <w:br/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The European Commission support </w:t>
    </w:r>
    <w:proofErr w:type="gramStart"/>
    <w:r w:rsidRPr="003C2227">
      <w:rPr>
        <w:rFonts w:ascii="Lato" w:hAnsi="Lato" w:cs="Lato"/>
        <w:i/>
        <w:color w:val="E5362B"/>
        <w:sz w:val="16"/>
        <w:szCs w:val="16"/>
        <w:lang w:val="en-GB"/>
      </w:rPr>
      <w:t>for the production of</w:t>
    </w:r>
    <w:proofErr w:type="gramEnd"/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this publication does not constitute an endorsemen</w:t>
    </w:r>
    <w:r w:rsidR="00110FE9" w:rsidRPr="003C2227">
      <w:rPr>
        <w:rFonts w:ascii="Lato" w:hAnsi="Lato" w:cs="Lato"/>
        <w:i/>
        <w:color w:val="E5362B"/>
        <w:sz w:val="16"/>
        <w:szCs w:val="16"/>
        <w:lang w:val="en-GB"/>
      </w:rPr>
      <w:t>t of the contents which reflect</w:t>
    </w:r>
    <w:r w:rsidRPr="003C2227">
      <w:rPr>
        <w:rFonts w:ascii="Lato" w:hAnsi="Lato" w:cs="Lato"/>
        <w:i/>
        <w:color w:val="E5362B"/>
        <w:sz w:val="16"/>
        <w:szCs w:val="16"/>
        <w:lang w:val="en-GB"/>
      </w:rPr>
      <w:t xml:space="preserve"> the views only of the authors, 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5C86" w14:textId="77777777" w:rsidR="007A5C9A" w:rsidRDefault="007A5C9A" w:rsidP="00094809">
      <w:pPr>
        <w:spacing w:after="0" w:line="240" w:lineRule="auto"/>
      </w:pPr>
      <w:r>
        <w:separator/>
      </w:r>
    </w:p>
  </w:footnote>
  <w:footnote w:type="continuationSeparator" w:id="0">
    <w:p w14:paraId="1A53901C" w14:textId="77777777" w:rsidR="007A5C9A" w:rsidRDefault="007A5C9A" w:rsidP="000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F159" w14:textId="5F44412C" w:rsidR="00094809" w:rsidRPr="00094809" w:rsidRDefault="0055592C" w:rsidP="00094809">
    <w:pPr>
      <w:pStyle w:val="Header"/>
      <w:tabs>
        <w:tab w:val="clear" w:pos="9072"/>
      </w:tabs>
      <w:ind w:left="-567" w:right="-426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inline distT="0" distB="0" distL="0" distR="0" wp14:anchorId="6C0B26B8" wp14:editId="218D5A1C">
          <wp:extent cx="1467293" cy="825352"/>
          <wp:effectExtent l="0" t="0" r="0" b="0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950" cy="844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47E9" w14:textId="29C2DAF5" w:rsidR="0055592C" w:rsidRDefault="0055592C">
    <w:pPr>
      <w:pStyle w:val="Header"/>
    </w:pPr>
    <w:r w:rsidRPr="00094809">
      <w:rPr>
        <w:noProof/>
        <w:sz w:val="18"/>
        <w:szCs w:val="18"/>
        <w:lang w:eastAsia="de-DE"/>
      </w:rPr>
      <w:drawing>
        <wp:anchor distT="0" distB="0" distL="114300" distR="114300" simplePos="0" relativeHeight="251660288" behindDoc="1" locked="0" layoutInCell="1" allowOverlap="1" wp14:anchorId="3356A925" wp14:editId="4DD77F87">
          <wp:simplePos x="0" y="0"/>
          <wp:positionH relativeFrom="margin">
            <wp:posOffset>-639445</wp:posOffset>
          </wp:positionH>
          <wp:positionV relativeFrom="paragraph">
            <wp:posOffset>-446878</wp:posOffset>
          </wp:positionV>
          <wp:extent cx="10706986" cy="2696810"/>
          <wp:effectExtent l="0" t="0" r="0" b="0"/>
          <wp:wrapNone/>
          <wp:docPr id="11" name="Grafik 1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9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986" cy="269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FFF"/>
    <w:multiLevelType w:val="hybridMultilevel"/>
    <w:tmpl w:val="4678C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F1CCF"/>
    <w:multiLevelType w:val="hybridMultilevel"/>
    <w:tmpl w:val="C6426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F08FF"/>
    <w:multiLevelType w:val="hybridMultilevel"/>
    <w:tmpl w:val="96F23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767"/>
    <w:multiLevelType w:val="hybridMultilevel"/>
    <w:tmpl w:val="FBC8E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D741F"/>
    <w:multiLevelType w:val="hybridMultilevel"/>
    <w:tmpl w:val="FA32DCF4"/>
    <w:lvl w:ilvl="0" w:tplc="EE5E273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262"/>
    <w:multiLevelType w:val="hybridMultilevel"/>
    <w:tmpl w:val="42D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666CA"/>
    <w:multiLevelType w:val="hybridMultilevel"/>
    <w:tmpl w:val="40D23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D56C8B"/>
    <w:multiLevelType w:val="hybridMultilevel"/>
    <w:tmpl w:val="AF749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5676">
    <w:abstractNumId w:val="4"/>
  </w:num>
  <w:num w:numId="2" w16cid:durableId="1129858418">
    <w:abstractNumId w:val="2"/>
  </w:num>
  <w:num w:numId="3" w16cid:durableId="554657985">
    <w:abstractNumId w:val="0"/>
  </w:num>
  <w:num w:numId="4" w16cid:durableId="1314290131">
    <w:abstractNumId w:val="5"/>
  </w:num>
  <w:num w:numId="5" w16cid:durableId="115805729">
    <w:abstractNumId w:val="3"/>
  </w:num>
  <w:num w:numId="6" w16cid:durableId="140464483">
    <w:abstractNumId w:val="7"/>
  </w:num>
  <w:num w:numId="7" w16cid:durableId="1564755632">
    <w:abstractNumId w:val="1"/>
  </w:num>
  <w:num w:numId="8" w16cid:durableId="1719280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9"/>
    <w:rsid w:val="00094809"/>
    <w:rsid w:val="00110FE9"/>
    <w:rsid w:val="001D3ECA"/>
    <w:rsid w:val="00201956"/>
    <w:rsid w:val="00252B92"/>
    <w:rsid w:val="00253945"/>
    <w:rsid w:val="002710CA"/>
    <w:rsid w:val="00281AD8"/>
    <w:rsid w:val="0033425C"/>
    <w:rsid w:val="003779E5"/>
    <w:rsid w:val="003C2227"/>
    <w:rsid w:val="004C02D2"/>
    <w:rsid w:val="004D4102"/>
    <w:rsid w:val="00517F47"/>
    <w:rsid w:val="00523A2E"/>
    <w:rsid w:val="00546523"/>
    <w:rsid w:val="0055592C"/>
    <w:rsid w:val="006033AB"/>
    <w:rsid w:val="006411D0"/>
    <w:rsid w:val="006A2789"/>
    <w:rsid w:val="006B0542"/>
    <w:rsid w:val="007A5C9A"/>
    <w:rsid w:val="00800766"/>
    <w:rsid w:val="008036EE"/>
    <w:rsid w:val="00870838"/>
    <w:rsid w:val="00897E72"/>
    <w:rsid w:val="008A0FAA"/>
    <w:rsid w:val="00960382"/>
    <w:rsid w:val="009B20C1"/>
    <w:rsid w:val="009F1D20"/>
    <w:rsid w:val="00A3442E"/>
    <w:rsid w:val="00A86753"/>
    <w:rsid w:val="00AE22FD"/>
    <w:rsid w:val="00B90E1B"/>
    <w:rsid w:val="00BC151D"/>
    <w:rsid w:val="00BC787C"/>
    <w:rsid w:val="00C7060A"/>
    <w:rsid w:val="00C709CF"/>
    <w:rsid w:val="00C756EB"/>
    <w:rsid w:val="00CB77D8"/>
    <w:rsid w:val="00D10608"/>
    <w:rsid w:val="00D43FF9"/>
    <w:rsid w:val="00D94AE8"/>
    <w:rsid w:val="00E65035"/>
    <w:rsid w:val="00F41AE4"/>
    <w:rsid w:val="00F5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C71FD"/>
  <w15:chartTrackingRefBased/>
  <w15:docId w15:val="{5816D9F5-A350-4EA9-8884-2D027092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9"/>
  </w:style>
  <w:style w:type="paragraph" w:styleId="Footer">
    <w:name w:val="footer"/>
    <w:basedOn w:val="Normal"/>
    <w:link w:val="FooterChar"/>
    <w:uiPriority w:val="99"/>
    <w:unhideWhenUsed/>
    <w:rsid w:val="00094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9"/>
  </w:style>
  <w:style w:type="paragraph" w:styleId="CommentText">
    <w:name w:val="annotation text"/>
    <w:basedOn w:val="Normal"/>
    <w:link w:val="CommentTextChar"/>
    <w:uiPriority w:val="99"/>
    <w:semiHidden/>
    <w:unhideWhenUsed/>
    <w:rsid w:val="00110FE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E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F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E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C7060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60382"/>
    <w:rPr>
      <w:b/>
      <w:bCs/>
    </w:rPr>
  </w:style>
  <w:style w:type="character" w:customStyle="1" w:styleId="css-901oao">
    <w:name w:val="css-901oao"/>
    <w:basedOn w:val="DefaultParagraphFont"/>
    <w:rsid w:val="00D94AE8"/>
  </w:style>
  <w:style w:type="character" w:styleId="FollowedHyperlink">
    <w:name w:val="FollowedHyperlink"/>
    <w:basedOn w:val="DefaultParagraphFont"/>
    <w:uiPriority w:val="99"/>
    <w:semiHidden/>
    <w:unhideWhenUsed/>
    <w:rsid w:val="006033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piracytheories.eu/_wpx/wp-content/uploads/2020/03/COMPACT_Guide-2.pdf" TargetMode="External"/><Relationship Id="rId13" Type="http://schemas.openxmlformats.org/officeDocument/2006/relationships/hyperlink" Target="https://global100.adl.org/map" TargetMode="External"/><Relationship Id="rId18" Type="http://schemas.openxmlformats.org/officeDocument/2006/relationships/hyperlink" Target="https://www.amadeu-antonio-stiftung.de/wp-content/uploads/2020/05/wissen_was_wirklich_2.Auflage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edium.com/@pitt_bob/antisemitism-and-a-voltaire-quote-9d06172c944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List_of_conspiracy_theories" TargetMode="External"/><Relationship Id="rId17" Type="http://schemas.openxmlformats.org/officeDocument/2006/relationships/hyperlink" Target="https://antisemitism.org.uk/wp-content/uploads/2020/07/Antisemitic-imagery-May-2020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antisemitism.org.uk/wp-content/uploads/2020/07/Antisemitic-imagery-May-2020.pdf" TargetMode="External"/><Relationship Id="rId20" Type="http://schemas.openxmlformats.org/officeDocument/2006/relationships/hyperlink" Target="https://www.theguardian.com/australia-news/2015/nov/27/cory-bernardi-mistakenly-quotes-voltaire-on-twitter-with-supposed-neo-nazis-lin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.boell.org/en/2020/09/10/it-must-be-plot-coronavirus-conspiracy-theorists-take-streets-germany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info/live-work-travel-eu/coronavirus-response/fighting-disinformation/identifying-conspiracy-theories_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gov.co.uk/topics/international/articles-reports/2018/12/14/brexit-and-trump-voters-are-more-likely-believe-co" TargetMode="External"/><Relationship Id="rId19" Type="http://schemas.openxmlformats.org/officeDocument/2006/relationships/hyperlink" Target="https://ec.europa.eu/info/live-work-travel-eu/coronavirus-response/fighting-disinformation/identifying-conspiracy-theorie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info/live-work-travel-eu/coronavirus-response/fighting-disinformation/identifying-conspiracy-theories_en" TargetMode="External"/><Relationship Id="rId14" Type="http://schemas.openxmlformats.org/officeDocument/2006/relationships/hyperlink" Target="https://ec.europa.eu/home-affairs/sites/default/files/what-we-do/networks/radicalisation_awareness_network/ran-papers/docs/ran_conspiracy_theories_and_right-wing_2021_en.pdf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897C0-BD83-3D41-A543-0A1158F2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2877</Words>
  <Characters>16404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Urban</dc:creator>
  <cp:keywords/>
  <dc:description/>
  <cp:lastModifiedBy>Debora Lucque</cp:lastModifiedBy>
  <cp:revision>2</cp:revision>
  <dcterms:created xsi:type="dcterms:W3CDTF">2022-04-15T14:03:00Z</dcterms:created>
  <dcterms:modified xsi:type="dcterms:W3CDTF">2022-04-15T14:03:00Z</dcterms:modified>
</cp:coreProperties>
</file>