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CFCF" w14:textId="122E19AB" w:rsidR="003C2227" w:rsidRPr="004B40DD" w:rsidRDefault="004B40DD" w:rsidP="004B4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</w:pPr>
      <w:r w:rsidRPr="009077DE"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>Public Risk Perception</w:t>
      </w:r>
      <w:r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 xml:space="preserve">: </w:t>
      </w:r>
      <w:r w:rsidRPr="009077DE"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>Dealing with Public Polarization and Resistance in the Momentum of Global Crisis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476CEC" w:rsidRPr="004B40DD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07FB6648" w:rsidR="00476CEC" w:rsidRPr="00FF3C98" w:rsidRDefault="00EE1DF2" w:rsidP="00FF3C9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</w:t>
            </w:r>
            <w:r w:rsidR="00FF3C98">
              <w:rPr>
                <w:rFonts w:ascii="Source Sans Pro Light" w:hAnsi="Source Sans Pro Light" w:cs="Times New Roman"/>
                <w:bCs/>
                <w:lang w:val="en-GB"/>
              </w:rPr>
              <w:t xml:space="preserve"> -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4</w:t>
            </w:r>
            <w:r w:rsidR="00476CEC" w:rsidRPr="00FF3C98">
              <w:rPr>
                <w:rFonts w:ascii="Source Sans Pro Light" w:hAnsi="Source Sans Pro Light" w:cs="Times New Roman"/>
                <w:bCs/>
                <w:lang w:val="en-GB"/>
              </w:rPr>
              <w:t xml:space="preserve"> teaching hours</w:t>
            </w:r>
          </w:p>
          <w:p w14:paraId="560EED07" w14:textId="4AD17E28" w:rsidR="00476CEC" w:rsidRPr="00476CEC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Topic 1</w:t>
            </w:r>
            <w:r w:rsidR="00EE1DF2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 &amp; Topic 2</w:t>
            </w:r>
          </w:p>
          <w:p w14:paraId="1D8A492A" w14:textId="77777777" w:rsidR="00476CEC" w:rsidRPr="00F57135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5894C1C0" w:rsidR="00476CEC" w:rsidRPr="00F57135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3BCFB655" w:rsidR="00476CEC" w:rsidRPr="00F57135" w:rsidRDefault="00EE1DF2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90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7B2F4503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Pre-recorded video lecture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18642C4B" w:rsidR="00476CEC" w:rsidRPr="00F57135" w:rsidRDefault="000512AB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512AB">
              <w:rPr>
                <w:rFonts w:ascii="Source Sans Pro Light" w:hAnsi="Source Sans Pro Light" w:cs="Times New Roman"/>
                <w:bCs/>
                <w:lang w:val="en-GB"/>
              </w:rPr>
              <w:t>Listening to the lecture, taking notes, reading supporting material, etc.</w:t>
            </w:r>
            <w:r w:rsidR="00476CEC" w:rsidRPr="00476CEC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36E8" w14:textId="712882F2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PPT, Video lecture, individual study time.</w:t>
            </w:r>
          </w:p>
        </w:tc>
      </w:tr>
      <w:tr w:rsidR="00476CEC" w:rsidRPr="004B40DD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57D2D809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327C" w14:textId="5EBEC736" w:rsidR="00476CEC" w:rsidRPr="00683338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Moderating and facilitation the discussion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29B8662D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Asking questions, analyzing material from the lecture and discussing it in smaller and bigger groups.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44A3CB7C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Discussion on Moodle or other platform.</w:t>
            </w:r>
          </w:p>
        </w:tc>
      </w:tr>
      <w:tr w:rsidR="00EE1DF2" w:rsidRPr="004B40DD" w14:paraId="6DDC31B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F3A5B7" w14:textId="77777777" w:rsidR="00EE1DF2" w:rsidRPr="00F57135" w:rsidRDefault="00EE1DF2" w:rsidP="00EE1DF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62B5" w14:textId="29D24A90" w:rsidR="00EE1DF2" w:rsidRDefault="00EE1DF2" w:rsidP="00EE1DF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60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6BBC" w14:textId="03833BB3" w:rsidR="00EE1DF2" w:rsidRPr="00476CEC" w:rsidRDefault="00EE1DF2" w:rsidP="00EE1DF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 xml:space="preserve">Individual assignment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C4B2" w14:textId="5C95FD25" w:rsidR="00EE1DF2" w:rsidRPr="00EE1DF2" w:rsidRDefault="00EE1DF2" w:rsidP="00EE1DF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Watching movie and writing a paper.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9962" w14:textId="77777777" w:rsidR="00EE1DF2" w:rsidRPr="00EE1DF2" w:rsidRDefault="00EE1DF2" w:rsidP="00EE1DF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476CEC" w:rsidRPr="00EE1DF2" w14:paraId="5DF5CE70" w14:textId="77777777" w:rsidTr="00020863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549DF" w14:textId="777777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D9A7" w14:textId="77777777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Self-study material for topic 1:</w:t>
            </w:r>
          </w:p>
          <w:p w14:paraId="51365AB4" w14:textId="68D4C644" w:rsidR="00EE1DF2" w:rsidRPr="00EE1DF2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8" w:history="1"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World Economic Forum. Global Risks Report 2021</w:t>
              </w:r>
            </w:hyperlink>
          </w:p>
          <w:p w14:paraId="2D427C8A" w14:textId="19D1E918" w:rsidR="00EE1DF2" w:rsidRPr="00EE1DF2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Beck, U. (2006). Living in a World Risk Society. Economy and Society, Vol. 35, No. 3</w:t>
            </w:r>
          </w:p>
          <w:p w14:paraId="6AB0891B" w14:textId="7886EED3" w:rsidR="00EE1DF2" w:rsidRPr="00EE1DF2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 xml:space="preserve">Fardin Mansouri and Fatemeh Sefidgarbaei. (2021). Risk Society and COVID19. Canadian Journal of Public Health. Vol. 112(1): 36–37. Accessible online </w:t>
            </w:r>
            <w:hyperlink r:id="rId9" w:history="1"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her</w:t>
              </w:r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e</w:t>
              </w:r>
            </w:hyperlink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1188BBE2" w14:textId="6C77C4B6" w:rsidR="00EE1DF2" w:rsidRPr="00EE1DF2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 xml:space="preserve">Constantinou, C. S. (2021). “People Have to Comply with the Measures”: Covid-19 in “Risk Society”. Journal of Applied Social Science. Accessible online </w:t>
            </w:r>
            <w:hyperlink r:id="rId10" w:history="1"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he</w:t>
              </w:r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r</w:t>
              </w:r>
              <w:r w:rsidRPr="00EE1DF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e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. </w:t>
            </w:r>
          </w:p>
          <w:p w14:paraId="459C963B" w14:textId="4FE4C356" w:rsidR="00EE1DF2" w:rsidRPr="00EE1DF2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Power, M. (2004). The Risk Management of Everything. Rethinking the Politics of Uncertainty</w:t>
            </w:r>
          </w:p>
          <w:p w14:paraId="3E343080" w14:textId="77777777" w:rsidR="00476CEC" w:rsidRDefault="00EE1DF2" w:rsidP="00EE1DF2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Williams, M. J., (2008). (In)Security Studies, Reflexive Modernization and the Risk Society. Cooperation and Conflict: Journal of the Nordic International Studies Association Vol. 43(1): 57–79</w:t>
            </w:r>
          </w:p>
          <w:p w14:paraId="06B00999" w14:textId="2CDFB4D9" w:rsidR="000D3A59" w:rsidRPr="00476CEC" w:rsidRDefault="000D3A59" w:rsidP="000D3A5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Self-study material for topic </w:t>
            </w: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2</w:t>
            </w: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:</w:t>
            </w:r>
          </w:p>
          <w:p w14:paraId="47360C9C" w14:textId="77777777" w:rsidR="000D3A59" w:rsidRPr="000D3A59" w:rsidRDefault="000D3A59" w:rsidP="000D3A59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Waltner-Toews, D., Biggeri, A., De Marchi, B., Funtowicz, S., Giampietro, M., O’Connor, M., Ravetz, J. R., Saltelli, A. and van der Sluijs, J. P. (2020). Post-normal Pandemics: Why COVID19 Requires a New Approach to Science? Accessible online </w:t>
            </w:r>
            <w:hyperlink r:id="rId11" w:history="1">
              <w:r w:rsidRPr="000D3A59">
                <w:rPr>
                  <w:rFonts w:ascii="Source Sans Pro Light" w:hAnsi="Source Sans Pro Light" w:cs="Times New Roman"/>
                  <w:bCs/>
                  <w:color w:val="0070C0"/>
                  <w:u w:val="single"/>
                  <w:lang w:val="en-GB"/>
                </w:rPr>
                <w:t>here</w:t>
              </w:r>
            </w:hyperlink>
            <w:r w:rsidRPr="000D3A59">
              <w:rPr>
                <w:rFonts w:ascii="Source Sans Pro Light" w:hAnsi="Source Sans Pro Light" w:cs="Times New Roman"/>
                <w:bCs/>
                <w:color w:val="0070C0"/>
                <w:u w:val="single"/>
                <w:lang w:val="en-GB"/>
              </w:rPr>
              <w:t>.</w:t>
            </w:r>
          </w:p>
          <w:p w14:paraId="7F8E95E8" w14:textId="77777777" w:rsidR="000D3A59" w:rsidRPr="000D3A59" w:rsidRDefault="000D3A59" w:rsidP="000D3A59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Sodha, S. (2021). We’re living in a time of high stakes and scientific risks need to be taken. The Guardian. Accessible online </w:t>
            </w:r>
            <w:hyperlink r:id="rId12" w:history="1">
              <w:r w:rsidRPr="000D3A59">
                <w:rPr>
                  <w:rFonts w:ascii="Source Sans Pro Light" w:hAnsi="Source Sans Pro Light" w:cs="Times New Roman"/>
                  <w:bCs/>
                  <w:lang w:val="en-GB"/>
                </w:rPr>
                <w:t>here</w:t>
              </w:r>
            </w:hyperlink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6FE5CCFC" w14:textId="71575204" w:rsidR="000D3A59" w:rsidRPr="000D3A59" w:rsidRDefault="000D3A59" w:rsidP="000D3A59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Analysis: Science in a Time of Covid is on BBC Radio 4 on 22 March at 8.30pm. Accessible online </w:t>
            </w:r>
            <w:hyperlink r:id="rId13" w:history="1">
              <w:r w:rsidRPr="000D3A59">
                <w:rPr>
                  <w:rFonts w:ascii="Source Sans Pro Light" w:hAnsi="Source Sans Pro Light" w:cs="Times New Roman"/>
                  <w:bCs/>
                  <w:color w:val="0070C0"/>
                  <w:u w:val="single"/>
                  <w:lang w:val="en-GB"/>
                </w:rPr>
                <w:t>here</w:t>
              </w:r>
            </w:hyperlink>
            <w:r w:rsidRPr="000D3A59">
              <w:rPr>
                <w:rFonts w:ascii="Source Sans Pro Light" w:hAnsi="Source Sans Pro Light" w:cs="Times New Roman"/>
                <w:bCs/>
                <w:color w:val="0070C0"/>
                <w:u w:val="single"/>
                <w:lang w:val="en-GB"/>
              </w:rPr>
              <w:t>.</w:t>
            </w:r>
          </w:p>
        </w:tc>
      </w:tr>
      <w:tr w:rsidR="00476CEC" w:rsidRPr="004B40DD" w14:paraId="3D5CA2A2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3FD3ACB2" w:rsidR="00476CEC" w:rsidRPr="00F57135" w:rsidRDefault="00EE1DF2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 xml:space="preserve">–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3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>teaching hour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42E95553" w14:textId="115FB5A3" w:rsidR="00476CEC" w:rsidRPr="00476CEC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lang w:val="en-GB"/>
              </w:rPr>
              <w:lastRenderedPageBreak/>
              <w:t xml:space="preserve">Topic </w:t>
            </w:r>
            <w:r w:rsidR="00EE1DF2">
              <w:rPr>
                <w:rFonts w:ascii="Source Sans Pro Light" w:hAnsi="Source Sans Pro Light" w:cs="Times New Roman"/>
                <w:b/>
                <w:lang w:val="en-GB"/>
              </w:rPr>
              <w:t>3 &amp; Topic 4</w:t>
            </w:r>
          </w:p>
          <w:p w14:paraId="0C7B168A" w14:textId="51749ECB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4C91" w14:textId="0D996005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9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691C6740" w14:textId="1A930659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07B2" w14:textId="590783C7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Pre-recorded video lecture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AAB" w14:textId="0B954AC7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Listening to the lecture, taking notes, reading supporting material, etc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A6D9" w14:textId="4F3F08BA" w:rsidR="00476CEC" w:rsidRPr="00683338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PPT, Video lecture, individual study time.</w:t>
            </w:r>
          </w:p>
        </w:tc>
      </w:tr>
      <w:tr w:rsidR="00476CEC" w:rsidRPr="004B40DD" w14:paraId="1748FD9B" w14:textId="77777777" w:rsidTr="00A776E0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4A4D0" w14:textId="398F447C" w:rsidR="00476CEC" w:rsidRPr="00683338" w:rsidRDefault="00476CEC" w:rsidP="00476CE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7A8F50ED" w:rsidR="00476CEC" w:rsidRPr="00F57135" w:rsidRDefault="00EE1DF2" w:rsidP="00476CEC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  <w:r w:rsidR="00476CEC"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 w:rsidR="00476CEC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55D" w14:textId="4F872B9B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Moderating and facilitation the discussion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48487888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Asking questions, analyzing material from the lecture and discussing it in smaller and bigger groups. Summarizing the course.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5DA198C8" w:rsidR="00476CEC" w:rsidRPr="00F57135" w:rsidRDefault="00EE1DF2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E1DF2">
              <w:rPr>
                <w:rFonts w:ascii="Source Sans Pro Light" w:hAnsi="Source Sans Pro Light" w:cs="Times New Roman"/>
                <w:bCs/>
                <w:lang w:val="en-GB"/>
              </w:rPr>
              <w:t>Discussion on Moodle or other platform.</w:t>
            </w:r>
            <w:r w:rsidR="00476CEC" w:rsidRPr="00476CEC">
              <w:rPr>
                <w:rFonts w:ascii="Source Sans Pro Light" w:hAnsi="Source Sans Pro Light" w:cs="Times New Roman"/>
                <w:bCs/>
                <w:lang w:val="en-GB"/>
              </w:rPr>
              <w:t xml:space="preserve">. </w:t>
            </w:r>
          </w:p>
        </w:tc>
      </w:tr>
      <w:tr w:rsidR="00476CEC" w:rsidRPr="000D3A59" w14:paraId="3B816F6C" w14:textId="77777777" w:rsidTr="0067174E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4625D" w14:textId="77777777" w:rsidR="00476CEC" w:rsidRPr="00683338" w:rsidRDefault="00476CEC" w:rsidP="00476CE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102" w14:textId="692FBC2F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Self-study material for </w:t>
            </w:r>
            <w:r w:rsidR="000D3A59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topic 3</w:t>
            </w:r>
          </w:p>
          <w:p w14:paraId="34111954" w14:textId="77777777" w:rsidR="000D3A59" w:rsidRPr="00FE3894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Ellis, L. D. The Need for Effective Risk Communication Strategies in Today’s Complex Information Environment. Accessible online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  <w:hyperlink r:id="rId14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FE3894">
              <w:rPr>
                <w:rFonts w:ascii="Century Gothic" w:eastAsia="Lato" w:hAnsi="Century Gothic"/>
                <w:iCs/>
              </w:rPr>
              <w:t>.</w:t>
            </w:r>
          </w:p>
          <w:p w14:paraId="0F058116" w14:textId="77777777" w:rsidR="000D3A59" w:rsidRPr="00FE3894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Bol, G. F. (2016). Risk communication in times of crisis Pitfalls and challenges in ensuring preparedness instead of hysterics. EMBO Reports. Vol. 17, No. 1. Accessible online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  <w:hyperlink r:id="rId15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hAnsi="Source Sans Pro Light"/>
                <w:i/>
              </w:rPr>
              <w:t>.</w:t>
            </w:r>
          </w:p>
          <w:p w14:paraId="6135ED1A" w14:textId="77777777" w:rsidR="000D3A59" w:rsidRPr="000D3A59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World Health Organization. (2013). Health and Environment: Communicating the Risk.</w:t>
            </w:r>
          </w:p>
          <w:p w14:paraId="6CD5DC8E" w14:textId="77777777" w:rsidR="000D3A59" w:rsidRPr="000D3A59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Schmalzle, R., Renner, B., Schupp, H. T. (2017). Health Risk Perception and Risk Communication. Policy Insights from the Behavioral and Brain Sciences. Vol. 4, No. 2, 163-169.</w:t>
            </w:r>
          </w:p>
          <w:p w14:paraId="637B12D1" w14:textId="77777777" w:rsidR="000D3A59" w:rsidRPr="00FE3894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Bouder, F. (2015). Risk communication of vaccines: challenges in the post-trust environment. Accessible online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  <w:hyperlink r:id="rId16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hAnsi="Source Sans Pro Light"/>
                <w:i/>
              </w:rPr>
              <w:t>.</w:t>
            </w:r>
          </w:p>
          <w:p w14:paraId="038DD709" w14:textId="77777777" w:rsidR="000D3A59" w:rsidRPr="00FE3894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PAHO. Guide for the preparation of a risk communication strategy for COVID-19 vaccines: A Resource for the countries of the Americas. Accessible online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  <w:hyperlink r:id="rId17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hAnsi="Source Sans Pro Light"/>
                <w:i/>
              </w:rPr>
              <w:t>.</w:t>
            </w:r>
          </w:p>
          <w:p w14:paraId="737F3874" w14:textId="77777777" w:rsidR="000D3A59" w:rsidRPr="003A6CDE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CDC. Communicating About COVID-19 Vaccine Safety and Risk. Accessible online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  <w:hyperlink r:id="rId18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hAnsi="Source Sans Pro Light"/>
                <w:i/>
              </w:rPr>
              <w:t>.</w:t>
            </w:r>
            <w:r w:rsidRPr="00FE3894">
              <w:rPr>
                <w:rFonts w:ascii="Century Gothic" w:eastAsia="Lato" w:hAnsi="Century Gothic"/>
                <w:iCs/>
              </w:rPr>
              <w:t xml:space="preserve"> </w:t>
            </w:r>
          </w:p>
          <w:p w14:paraId="72A59F37" w14:textId="77777777" w:rsidR="000D3A59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Cs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VIDEO: Allan Bonner. Flying – Clasic Case of Risk Perception. Accessible online</w:t>
            </w:r>
            <w:r>
              <w:rPr>
                <w:rFonts w:ascii="Century Gothic" w:hAnsi="Century Gothic"/>
                <w:iCs/>
              </w:rPr>
              <w:t xml:space="preserve"> </w:t>
            </w:r>
            <w:hyperlink r:id="rId19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eastAsia="Lato" w:hAnsi="Source Sans Pro Light"/>
                <w:i/>
              </w:rPr>
              <w:t>.</w:t>
            </w:r>
          </w:p>
          <w:p w14:paraId="56DA0288" w14:textId="77777777" w:rsidR="000D3A59" w:rsidRDefault="000D3A59" w:rsidP="000D3A5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550"/>
              <w:jc w:val="both"/>
              <w:rPr>
                <w:rFonts w:ascii="Century Gothic" w:hAnsi="Century Gothic"/>
                <w:i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Campbell, MacGregor. n/d. Sharks or Vending Machines: Which is Deadlier? Book of Odds. Accessible online</w:t>
            </w:r>
            <w:r>
              <w:rPr>
                <w:rFonts w:ascii="Century Gothic" w:hAnsi="Century Gothic"/>
                <w:i/>
              </w:rPr>
              <w:t xml:space="preserve"> </w:t>
            </w:r>
            <w:hyperlink r:id="rId20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eastAsia="Lato" w:hAnsi="Source Sans Pro Light"/>
                <w:iCs/>
              </w:rPr>
              <w:t>.</w:t>
            </w:r>
            <w:r>
              <w:rPr>
                <w:rFonts w:ascii="Century Gothic" w:hAnsi="Century Gothic"/>
                <w:i/>
              </w:rPr>
              <w:t xml:space="preserve"> </w:t>
            </w:r>
          </w:p>
          <w:p w14:paraId="1839F137" w14:textId="77777777" w:rsidR="00476CEC" w:rsidRPr="000D3A59" w:rsidRDefault="000D3A59" w:rsidP="000D3A59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550"/>
              <w:jc w:val="both"/>
              <w:rPr>
                <w:rStyle w:val="Hyperlink"/>
                <w:rFonts w:ascii="Source Sans Pro Light" w:hAnsi="Source Sans Pro Light" w:cs="Times New Roman"/>
                <w:bCs/>
                <w:color w:val="auto"/>
                <w:u w:val="none"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Siegrist, M., Bearth, A. (2021). Worldviews, trust, and risk perceptions shape public acceptance of COVID-19 public health measures. PNAS. Accsessible online</w:t>
            </w:r>
            <w:r>
              <w:rPr>
                <w:rFonts w:ascii="Century Gothic" w:hAnsi="Century Gothic"/>
                <w:i/>
              </w:rPr>
              <w:t xml:space="preserve"> </w:t>
            </w:r>
            <w:hyperlink r:id="rId21" w:history="1">
              <w:r w:rsidRPr="000D3A59">
                <w:rPr>
                  <w:rStyle w:val="Hyperlink"/>
                  <w:rFonts w:ascii="Source Sans Pro Light" w:eastAsia="Lato" w:hAnsi="Source Sans Pro Light"/>
                  <w:i/>
                  <w:iCs/>
                </w:rPr>
                <w:t>here</w:t>
              </w:r>
            </w:hyperlink>
            <w:r w:rsidRPr="000D3A59">
              <w:rPr>
                <w:rStyle w:val="Hyperlink"/>
                <w:rFonts w:ascii="Source Sans Pro Light" w:eastAsia="Lato" w:hAnsi="Source Sans Pro Light"/>
                <w:iCs/>
              </w:rPr>
              <w:t>.</w:t>
            </w:r>
          </w:p>
          <w:p w14:paraId="3D1968BA" w14:textId="77777777" w:rsidR="000D3A59" w:rsidRDefault="000D3A59" w:rsidP="000D3A5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8D68251" w14:textId="6C82685A" w:rsidR="000D3A59" w:rsidRPr="00476CEC" w:rsidRDefault="000D3A59" w:rsidP="000D3A5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lastRenderedPageBreak/>
              <w:t xml:space="preserve">Self-study material for </w:t>
            </w: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topic </w:t>
            </w: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4</w:t>
            </w:r>
          </w:p>
          <w:p w14:paraId="2664E4F5" w14:textId="3407D6F7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Brunsonm, E. K., Buttenheim, A., Omer, S., Quinn, S. C. (2021) Strategies for Building Confidence in the COVID-19 Vaccines. Accessible online </w:t>
            </w:r>
            <w:hyperlink r:id="rId22" w:history="1">
              <w:r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here</w:t>
              </w:r>
            </w:hyperlink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07B05D0E" w14:textId="56682110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Clyde, J., Corpuz, G. (2021). Building vaccine confidence through public participation. Journal of Public Health. Accessible online </w:t>
            </w:r>
            <w:hyperlink r:id="rId23" w:history="1">
              <w:r w:rsidR="00367189"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 xml:space="preserve"> here</w:t>
              </w:r>
            </w:hyperlink>
            <w:r w:rsidR="00367189" w:rsidRPr="000D3A59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13EE9198" w14:textId="0A7640DA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>UNICEF VIDEO | COVID-19 Vaccines: Sorting fact from fiction. Accessible online</w:t>
            </w:r>
            <w:r w:rsidR="00367189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hyperlink r:id="rId24" w:history="1">
              <w:r w:rsidR="00367189"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here</w:t>
              </w:r>
            </w:hyperlink>
            <w:r w:rsidR="00367189" w:rsidRPr="000D3A59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42542DD7" w14:textId="14B02F5A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COMMUNICATING SCIENCE. Evidence-based Communication Guidelines for Early Stage Researchers and Journalists. Accessible online </w:t>
            </w:r>
            <w:hyperlink r:id="rId25" w:history="1">
              <w:r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here</w:t>
              </w:r>
            </w:hyperlink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. </w:t>
            </w:r>
          </w:p>
          <w:p w14:paraId="326F5EBB" w14:textId="0A03C25F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Lopez, G. (2021). </w:t>
            </w:r>
            <w:hyperlink r:id="rId26" w:history="1">
              <w:r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How Political Polarization Broke America’s vaccine campaign?</w:t>
              </w:r>
            </w:hyperlink>
          </w:p>
          <w:p w14:paraId="7341B9CA" w14:textId="1625C853" w:rsidR="000D3A59" w:rsidRPr="000D3A59" w:rsidRDefault="000D3A59" w:rsidP="000D3A5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D3A59">
              <w:rPr>
                <w:rFonts w:ascii="Source Sans Pro Light" w:hAnsi="Source Sans Pro Light" w:cs="Times New Roman"/>
                <w:bCs/>
                <w:lang w:val="en-GB"/>
              </w:rPr>
              <w:t xml:space="preserve">Abdelfattah, M. (2021). </w:t>
            </w:r>
            <w:hyperlink r:id="rId27" w:history="1">
              <w:r w:rsidRPr="00367189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Vaccine hesitancy is fueled by polarization and mistrust in science, experts say</w:t>
              </w:r>
            </w:hyperlink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042EE1">
      <w:headerReference w:type="default" r:id="rId28"/>
      <w:footerReference w:type="even" r:id="rId29"/>
      <w:footerReference w:type="default" r:id="rId30"/>
      <w:headerReference w:type="first" r:id="rId31"/>
      <w:pgSz w:w="16838" w:h="11906" w:orient="landscape"/>
      <w:pgMar w:top="4289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1AB0" w14:textId="77777777" w:rsidR="00C449D2" w:rsidRDefault="00C449D2" w:rsidP="00094809">
      <w:pPr>
        <w:spacing w:after="0" w:line="240" w:lineRule="auto"/>
      </w:pPr>
      <w:r>
        <w:separator/>
      </w:r>
    </w:p>
  </w:endnote>
  <w:endnote w:type="continuationSeparator" w:id="0">
    <w:p w14:paraId="0BF634F2" w14:textId="77777777" w:rsidR="00C449D2" w:rsidRDefault="00C449D2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4D"/>
    <w:family w:val="swiss"/>
    <w:pitch w:val="variable"/>
    <w:sig w:usb0="20000007" w:usb1="00000001" w:usb2="00000000" w:usb3="00000000" w:csb0="00000193" w:csb1="00000000"/>
  </w:font>
  <w:font w:name="Source Sans Pro">
    <w:panose1 w:val="020B0403030403090204"/>
    <w:charset w:val="4D"/>
    <w:family w:val="swiss"/>
    <w:pitch w:val="variable"/>
    <w:sig w:usb0="20000007" w:usb1="00000001" w:usb2="00000000" w:usb3="00000000" w:csb0="00000193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>The European Commission support for the production of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64B8" w14:textId="77777777" w:rsidR="00C449D2" w:rsidRDefault="00C449D2" w:rsidP="00094809">
      <w:pPr>
        <w:spacing w:after="0" w:line="240" w:lineRule="auto"/>
      </w:pPr>
      <w:r>
        <w:separator/>
      </w:r>
    </w:p>
  </w:footnote>
  <w:footnote w:type="continuationSeparator" w:id="0">
    <w:p w14:paraId="4CD99EB3" w14:textId="77777777" w:rsidR="00C449D2" w:rsidRDefault="00C449D2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BDE"/>
    <w:multiLevelType w:val="hybridMultilevel"/>
    <w:tmpl w:val="E22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60D"/>
    <w:multiLevelType w:val="hybridMultilevel"/>
    <w:tmpl w:val="C89A7A78"/>
    <w:lvl w:ilvl="0" w:tplc="66D6BC0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075767"/>
    <w:multiLevelType w:val="hybridMultilevel"/>
    <w:tmpl w:val="D9D455EC"/>
    <w:lvl w:ilvl="0" w:tplc="3300E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3F6B"/>
    <w:multiLevelType w:val="hybridMultilevel"/>
    <w:tmpl w:val="3AEA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3D2D"/>
    <w:multiLevelType w:val="hybridMultilevel"/>
    <w:tmpl w:val="92903A70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76CCA"/>
    <w:multiLevelType w:val="hybridMultilevel"/>
    <w:tmpl w:val="7DB64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B0797"/>
    <w:multiLevelType w:val="hybridMultilevel"/>
    <w:tmpl w:val="C006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23DAF"/>
    <w:multiLevelType w:val="hybridMultilevel"/>
    <w:tmpl w:val="5D4A3B02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07D0"/>
    <w:multiLevelType w:val="hybridMultilevel"/>
    <w:tmpl w:val="DE64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EA0"/>
    <w:multiLevelType w:val="hybridMultilevel"/>
    <w:tmpl w:val="39643CF2"/>
    <w:lvl w:ilvl="0" w:tplc="FACAE47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9BF3031"/>
    <w:multiLevelType w:val="hybridMultilevel"/>
    <w:tmpl w:val="23B2DF02"/>
    <w:lvl w:ilvl="0" w:tplc="8D0EEE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CA6A9C"/>
    <w:multiLevelType w:val="hybridMultilevel"/>
    <w:tmpl w:val="929C15A0"/>
    <w:lvl w:ilvl="0" w:tplc="2E7EE63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E95247"/>
    <w:multiLevelType w:val="hybridMultilevel"/>
    <w:tmpl w:val="8690D518"/>
    <w:lvl w:ilvl="0" w:tplc="9A4CE0D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8D63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4765E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8E54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2D8F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6EB5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408B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CF88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89B6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12"/>
  </w:num>
  <w:num w:numId="2" w16cid:durableId="1129858418">
    <w:abstractNumId w:val="7"/>
  </w:num>
  <w:num w:numId="3" w16cid:durableId="554657985">
    <w:abstractNumId w:val="3"/>
  </w:num>
  <w:num w:numId="4" w16cid:durableId="1314290131">
    <w:abstractNumId w:val="16"/>
  </w:num>
  <w:num w:numId="5" w16cid:durableId="115805729">
    <w:abstractNumId w:val="8"/>
  </w:num>
  <w:num w:numId="6" w16cid:durableId="140464483">
    <w:abstractNumId w:val="20"/>
  </w:num>
  <w:num w:numId="7" w16cid:durableId="1564755632">
    <w:abstractNumId w:val="4"/>
  </w:num>
  <w:num w:numId="8" w16cid:durableId="1719280290">
    <w:abstractNumId w:val="18"/>
  </w:num>
  <w:num w:numId="9" w16cid:durableId="65032820">
    <w:abstractNumId w:val="0"/>
  </w:num>
  <w:num w:numId="10" w16cid:durableId="1157769395">
    <w:abstractNumId w:val="5"/>
  </w:num>
  <w:num w:numId="11" w16cid:durableId="1106997747">
    <w:abstractNumId w:val="10"/>
  </w:num>
  <w:num w:numId="12" w16cid:durableId="395785879">
    <w:abstractNumId w:val="14"/>
  </w:num>
  <w:num w:numId="13" w16cid:durableId="1015034246">
    <w:abstractNumId w:val="17"/>
  </w:num>
  <w:num w:numId="14" w16cid:durableId="2074501981">
    <w:abstractNumId w:val="1"/>
  </w:num>
  <w:num w:numId="15" w16cid:durableId="1748384655">
    <w:abstractNumId w:val="2"/>
  </w:num>
  <w:num w:numId="16" w16cid:durableId="374550242">
    <w:abstractNumId w:val="11"/>
  </w:num>
  <w:num w:numId="17" w16cid:durableId="210113526">
    <w:abstractNumId w:val="15"/>
  </w:num>
  <w:num w:numId="18" w16cid:durableId="939290539">
    <w:abstractNumId w:val="6"/>
  </w:num>
  <w:num w:numId="19" w16cid:durableId="139226311">
    <w:abstractNumId w:val="19"/>
  </w:num>
  <w:num w:numId="20" w16cid:durableId="2042052713">
    <w:abstractNumId w:val="9"/>
  </w:num>
  <w:num w:numId="21" w16cid:durableId="1849445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42EE1"/>
    <w:rsid w:val="000512AB"/>
    <w:rsid w:val="00094809"/>
    <w:rsid w:val="000D3A59"/>
    <w:rsid w:val="00110FE9"/>
    <w:rsid w:val="00150CBE"/>
    <w:rsid w:val="001D3ECA"/>
    <w:rsid w:val="00201956"/>
    <w:rsid w:val="00252B92"/>
    <w:rsid w:val="00253945"/>
    <w:rsid w:val="002710CA"/>
    <w:rsid w:val="00281AD8"/>
    <w:rsid w:val="0033425C"/>
    <w:rsid w:val="00367189"/>
    <w:rsid w:val="003779E5"/>
    <w:rsid w:val="003C2227"/>
    <w:rsid w:val="00476CEC"/>
    <w:rsid w:val="004B40DD"/>
    <w:rsid w:val="004C02D2"/>
    <w:rsid w:val="004D4102"/>
    <w:rsid w:val="00517F47"/>
    <w:rsid w:val="00523A2E"/>
    <w:rsid w:val="00546523"/>
    <w:rsid w:val="0055592C"/>
    <w:rsid w:val="005C2FF5"/>
    <w:rsid w:val="006033AB"/>
    <w:rsid w:val="006411D0"/>
    <w:rsid w:val="00683338"/>
    <w:rsid w:val="006A2789"/>
    <w:rsid w:val="006B0542"/>
    <w:rsid w:val="00747F9C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414EF"/>
    <w:rsid w:val="00B6775D"/>
    <w:rsid w:val="00B90E1B"/>
    <w:rsid w:val="00BC151D"/>
    <w:rsid w:val="00BC787C"/>
    <w:rsid w:val="00C449D2"/>
    <w:rsid w:val="00C7060A"/>
    <w:rsid w:val="00C709CF"/>
    <w:rsid w:val="00C756EB"/>
    <w:rsid w:val="00CB77D8"/>
    <w:rsid w:val="00D10608"/>
    <w:rsid w:val="00D43FF9"/>
    <w:rsid w:val="00D94AE8"/>
    <w:rsid w:val="00DF3852"/>
    <w:rsid w:val="00E65035"/>
    <w:rsid w:val="00EE1DF2"/>
    <w:rsid w:val="00F41AE4"/>
    <w:rsid w:val="00F57135"/>
    <w:rsid w:val="00FD3935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D3A59"/>
    <w:rPr>
      <w:rFonts w:ascii="Century Gothic" w:hAnsi="Century Gothic"/>
      <w:b w:val="0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programmes/m000tcqy" TargetMode="External"/><Relationship Id="rId18" Type="http://schemas.openxmlformats.org/officeDocument/2006/relationships/hyperlink" Target="https://www.cdc.gov/coronavirus/2019-ncov/vaccines/forum/pdf/TipSheet_RiskCommunication-508.pdf" TargetMode="External"/><Relationship Id="rId26" Type="http://schemas.openxmlformats.org/officeDocument/2006/relationships/hyperlink" Target="https://www.vox.com/2021/7/6/22554198/political-polarization-vaccine-covid-19-coronavir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nas.org/content/118/24/e21004111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eguardian.com/commentisfree/2021/mar/20/were-living-in-a-time-of-high-stakes-and-scientific-risks-need-to-be-taken?CMP=Share_iOSApp_Other" TargetMode="External"/><Relationship Id="rId17" Type="http://schemas.openxmlformats.org/officeDocument/2006/relationships/hyperlink" Target="https://www.paho.org/en/documents/guide-preparation-risk-communication-strategy-covid-19-vaccines-resource-countries" TargetMode="External"/><Relationship Id="rId25" Type="http://schemas.openxmlformats.org/officeDocument/2006/relationships/hyperlink" Target="https://uni-foundation.eu/uploads/2021_ERUM%20-%20IO2-CommunicationGuidelines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urekaselect.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" TargetMode="External"/><Relationship Id="rId20" Type="http://schemas.openxmlformats.org/officeDocument/2006/relationships/hyperlink" Target="http://bookofodds.com/Accidents-Death/Accidental-Deaths/Articles/A0007-Sharks-or-Vending-Machines-Which-is-Deadlie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ps-centre.org/blog/postnormal-pandemics-why-covid-19-requires-a-new-approach-to-science/" TargetMode="External"/><Relationship Id="rId24" Type="http://schemas.openxmlformats.org/officeDocument/2006/relationships/hyperlink" Target="https://www.unicef.org/coronavirus/vaccine-messaging-guid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4718415/" TargetMode="External"/><Relationship Id="rId23" Type="http://schemas.openxmlformats.org/officeDocument/2006/relationships/hyperlink" Target="https://academic.oup.com/jpubhealth/advance-article/doi/10.1093/pubmed/fdab171/627949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journals.sagepub.com/doi/full/10.1177/1936724420980374" TargetMode="External"/><Relationship Id="rId19" Type="http://schemas.openxmlformats.org/officeDocument/2006/relationships/hyperlink" Target="http://www.youtube.com/watch?v=2RQKEiiz-hg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7814519/" TargetMode="External"/><Relationship Id="rId14" Type="http://schemas.openxmlformats.org/officeDocument/2006/relationships/hyperlink" Target="https://www.hsph.harvard.edu/ecpe/effective-risk-communication-strategies/" TargetMode="External"/><Relationship Id="rId22" Type="http://schemas.openxmlformats.org/officeDocument/2006/relationships/hyperlink" Target="https://nap.nationalacademies.org/read/26068/chapter/1" TargetMode="External"/><Relationship Id="rId27" Type="http://schemas.openxmlformats.org/officeDocument/2006/relationships/hyperlink" Target="https://news.northwestern.edu/stories/2020/12/vaccine-hesitancy-is-fueled-by-polarization-and-mistrust-in-science-experts-say/&amp;fj=1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weforum.org/reports/the-global-risks-report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7</cp:revision>
  <dcterms:created xsi:type="dcterms:W3CDTF">2022-04-15T14:03:00Z</dcterms:created>
  <dcterms:modified xsi:type="dcterms:W3CDTF">2022-05-09T10:11:00Z</dcterms:modified>
</cp:coreProperties>
</file>