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1A05B5EE" w14:textId="77777777" w:rsidR="0094230F" w:rsidRDefault="0094230F" w:rsidP="00F57135">
      <w:pPr>
        <w:spacing w:after="120" w:line="240" w:lineRule="auto"/>
        <w:ind w:lef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94230F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 xml:space="preserve">The impact of climate change in the Arctic </w:t>
      </w:r>
    </w:p>
    <w:p w14:paraId="0BC88B47" w14:textId="35B5C9A6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94230F" w:rsidRPr="0094230F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582228" w14:textId="7B3052C9" w:rsidR="0094230F" w:rsidRPr="00414D6B" w:rsidRDefault="0094230F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 hour</w:t>
            </w:r>
          </w:p>
          <w:p w14:paraId="5D25A261" w14:textId="616C435B" w:rsidR="0094230F" w:rsidRPr="00414D6B" w:rsidRDefault="0094230F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>Lesson 1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2716540E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64B58902" w:rsidR="0094230F" w:rsidRPr="00F57135" w:rsidRDefault="0094230F" w:rsidP="0094230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Introduction to the Arctic: tell students to group in pairs and explain activity.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69A6" w14:textId="2802CC36" w:rsidR="0094230F" w:rsidRPr="0094230F" w:rsidRDefault="0094230F" w:rsidP="0094230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Activity in pairs: prepare drawings using only visual elements about what the Arctic represents to students</w:t>
            </w:r>
          </w:p>
          <w:p w14:paraId="12F0AD83" w14:textId="6817D4CD" w:rsidR="0094230F" w:rsidRPr="00F57135" w:rsidRDefault="0094230F" w:rsidP="0094230F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Presentation of results.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207A3" w14:textId="7EE6AC80" w:rsidR="0094230F" w:rsidRPr="0094230F" w:rsidRDefault="0094230F" w:rsidP="0094230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S1 </w:t>
            </w: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1-2</w:t>
            </w:r>
          </w:p>
          <w:p w14:paraId="54BBD6A0" w14:textId="77777777" w:rsidR="0094230F" w:rsidRPr="0094230F" w:rsidRDefault="0094230F" w:rsidP="0094230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363D36E8" w14:textId="46BFFFCC" w:rsidR="0094230F" w:rsidRPr="00F57135" w:rsidRDefault="0094230F" w:rsidP="0094230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94230F" w:rsidRPr="00414D6B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94230F" w:rsidRPr="00F57135" w:rsidRDefault="0094230F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762F30BA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327C" w14:textId="1E6F3327" w:rsidR="0094230F" w:rsidRPr="0094230F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Presentation of what we understand by the “Arctic” – climatic and political criteria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3FBE8FFB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Students take notes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319C1892" w:rsidR="0094230F" w:rsidRPr="00F57135" w:rsidRDefault="0094230F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S1 </w:t>
            </w: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3-7</w:t>
            </w:r>
          </w:p>
        </w:tc>
      </w:tr>
      <w:tr w:rsidR="00414D6B" w:rsidRPr="00E63D81" w14:paraId="576A4E1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33B0" w14:textId="77777777" w:rsidR="00414D6B" w:rsidRPr="00F57135" w:rsidRDefault="00414D6B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9930" w14:textId="77777777" w:rsidR="0094230F" w:rsidRDefault="00414D6B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Self-study material </w:t>
            </w:r>
            <w:r w:rsidR="00671384">
              <w:rPr>
                <w:rFonts w:ascii="Source Sans Pro Light" w:hAnsi="Source Sans Pro Light" w:cs="Times New Roman"/>
                <w:bCs/>
                <w:lang w:val="en-GB"/>
              </w:rPr>
              <w:t xml:space="preserve">for </w:t>
            </w:r>
            <w:r w:rsidR="0094230F">
              <w:rPr>
                <w:rFonts w:ascii="Source Sans Pro Light" w:hAnsi="Source Sans Pro Light" w:cs="Times New Roman"/>
                <w:bCs/>
                <w:lang w:val="en-GB"/>
              </w:rPr>
              <w:t>lesson</w:t>
            </w:r>
            <w:r w:rsidR="00671384">
              <w:rPr>
                <w:rFonts w:ascii="Source Sans Pro Light" w:hAnsi="Source Sans Pro Light" w:cs="Times New Roman"/>
                <w:bCs/>
                <w:lang w:val="en-GB"/>
              </w:rPr>
              <w:t xml:space="preserve"> 1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:</w:t>
            </w:r>
          </w:p>
          <w:p w14:paraId="28D1A21A" w14:textId="18722979" w:rsidR="0094230F" w:rsidRPr="0094230F" w:rsidRDefault="0094230F" w:rsidP="0094230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British Museum blog “An Introduction to the Arctic”, available at: </w:t>
            </w:r>
            <w:hyperlink r:id="rId8" w:history="1">
              <w:r w:rsidRPr="00140C54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https://blog.britishmuseum.org/an-introduction-to-the-arctic/</w:t>
              </w:r>
            </w:hyperlink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</w:p>
          <w:p w14:paraId="3AB1F0A9" w14:textId="2EE7D95E" w:rsidR="00414D6B" w:rsidRPr="0094230F" w:rsidRDefault="0094230F" w:rsidP="0094230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i/>
                <w:lang w:val="en-GB"/>
              </w:rPr>
              <w:t>Webpage on the Arctic Portal: “Where is the Arctic?”:</w:t>
            </w:r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  <w:hyperlink r:id="rId9" w:history="1">
              <w:r w:rsidRPr="0094230F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https://portlets.arcticportal.org/where-is-the-arctic</w:t>
              </w:r>
            </w:hyperlink>
            <w:r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</w:t>
            </w:r>
          </w:p>
        </w:tc>
      </w:tr>
      <w:tr w:rsidR="007D7083" w:rsidRPr="0094230F" w14:paraId="1748FD9B" w14:textId="77777777" w:rsidTr="00E978E9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42F298" w14:textId="7F7C3B4C" w:rsidR="007D7083" w:rsidRPr="00F57135" w:rsidRDefault="007D7083" w:rsidP="0094230F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 hour</w:t>
            </w:r>
          </w:p>
          <w:p w14:paraId="37617F12" w14:textId="77777777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3254A4D0" w14:textId="7E11B6CF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2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4909569D" w:rsidR="007D7083" w:rsidRPr="00F57135" w:rsidRDefault="007D7083" w:rsidP="0094230F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55D" w14:textId="24D73D1D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>Presentation of the AMAC 2021 Update on the impact of climate change on the Arctic environment and societies, commented and updated by the teacher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552D4ACA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1834CA61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  <w:proofErr w:type="gramStart"/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PPT </w:t>
            </w:r>
            <w:r w:rsidR="00E63D81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  <w:r w:rsidR="0026027E">
              <w:rPr>
                <w:rFonts w:ascii="Source Sans Pro Light" w:hAnsi="Source Sans Pro Light" w:cs="Times New Roman"/>
                <w:lang w:val="en-GB"/>
              </w:rPr>
              <w:t>S</w:t>
            </w:r>
            <w:proofErr w:type="gramEnd"/>
            <w:r w:rsidR="0026027E">
              <w:rPr>
                <w:rFonts w:ascii="Source Sans Pro Light" w:hAnsi="Source Sans Pro Light" w:cs="Times New Roman"/>
                <w:lang w:val="en-GB"/>
              </w:rPr>
              <w:t xml:space="preserve">2 </w:t>
            </w:r>
            <w:r w:rsidR="00E63D81">
              <w:rPr>
                <w:rFonts w:ascii="Source Sans Pro Light" w:hAnsi="Source Sans Pro Light" w:cs="Times New Roman"/>
                <w:lang w:val="en-GB"/>
              </w:rPr>
              <w:t>2- 7</w:t>
            </w:r>
          </w:p>
        </w:tc>
      </w:tr>
      <w:tr w:rsidR="007D7083" w:rsidRPr="00F57135" w14:paraId="239ABB18" w14:textId="77777777" w:rsidTr="00E978E9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5841E3" w14:textId="0698D3B9" w:rsidR="007D7083" w:rsidRPr="00F57135" w:rsidRDefault="007D7083" w:rsidP="0094230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12F2A2F0" w:rsidR="007D7083" w:rsidRPr="00F57135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A2FC" w14:textId="2C103F31" w:rsidR="007D7083" w:rsidRPr="00671384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28F" w14:textId="06550A87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>Discussion about stakeholders in relation to Arctic issues and what is at stake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D02A" w14:textId="2067F719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lang w:val="en-GB"/>
              </w:rPr>
              <w:t xml:space="preserve"> PPT</w:t>
            </w:r>
            <w:r w:rsidR="0026027E">
              <w:rPr>
                <w:rFonts w:ascii="Source Sans Pro Light" w:hAnsi="Source Sans Pro Light" w:cs="Times New Roman"/>
                <w:lang w:val="en-GB"/>
              </w:rPr>
              <w:t xml:space="preserve"> S</w:t>
            </w:r>
            <w:proofErr w:type="gramStart"/>
            <w:r w:rsidR="0026027E">
              <w:rPr>
                <w:rFonts w:ascii="Source Sans Pro Light" w:hAnsi="Source Sans Pro Light" w:cs="Times New Roman"/>
                <w:lang w:val="en-GB"/>
              </w:rPr>
              <w:t xml:space="preserve">2 </w:t>
            </w:r>
            <w:r w:rsidR="00E63D81">
              <w:rPr>
                <w:rFonts w:ascii="Source Sans Pro Light" w:hAnsi="Source Sans Pro Light" w:cs="Times New Roman"/>
                <w:lang w:val="en-GB"/>
              </w:rPr>
              <w:t xml:space="preserve"> 8</w:t>
            </w:r>
            <w:proofErr w:type="gramEnd"/>
            <w:r w:rsidR="00E63D81">
              <w:rPr>
                <w:rFonts w:ascii="Source Sans Pro Light" w:hAnsi="Source Sans Pro Light" w:cs="Times New Roman"/>
                <w:lang w:val="en-GB"/>
              </w:rPr>
              <w:t>-10</w:t>
            </w:r>
          </w:p>
        </w:tc>
      </w:tr>
      <w:tr w:rsidR="007D7083" w:rsidRPr="00E63D81" w14:paraId="208E6B41" w14:textId="77777777" w:rsidTr="00916454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84769" w14:textId="77777777" w:rsidR="007D7083" w:rsidRPr="00F57135" w:rsidRDefault="007D7083" w:rsidP="00414D6B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07D8" w14:textId="77777777" w:rsidR="007D7083" w:rsidRPr="0094230F" w:rsidRDefault="007D7083" w:rsidP="0094230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94230F">
              <w:rPr>
                <w:rFonts w:ascii="Source Sans Pro Light" w:hAnsi="Source Sans Pro Light" w:cs="Times New Roman"/>
                <w:bCs/>
                <w:lang w:val="en-GB"/>
              </w:rPr>
              <w:t>Self-study material for lesson 2:</w:t>
            </w:r>
          </w:p>
          <w:p w14:paraId="2FF336EA" w14:textId="4DFEEB33" w:rsidR="007D7083" w:rsidRPr="007D7083" w:rsidRDefault="007D7083" w:rsidP="007D7083">
            <w:pPr>
              <w:pStyle w:val="ListParagraph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Read the AMAP report “Arctic Climate Change Update 2021(2021): Key Trends and Impacts - Summary for </w:t>
            </w:r>
            <w:proofErr w:type="gramStart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Policy-makers</w:t>
            </w:r>
            <w:proofErr w:type="gramEnd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”, pdf available at: </w:t>
            </w:r>
            <w:hyperlink r:id="rId10" w:history="1">
              <w:r w:rsidRPr="007D7083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https://oaarchive.arctic-council.org/handle/11374/2621</w:t>
              </w:r>
            </w:hyperlink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7D7083" w:rsidRPr="0094230F" w14:paraId="6F20D699" w14:textId="77777777" w:rsidTr="00A01197">
        <w:trPr>
          <w:trHeight w:val="746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CA35274" w14:textId="61FE2B6C" w:rsidR="007D7083" w:rsidRPr="006606B5" w:rsidRDefault="007D7083" w:rsidP="007D7083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606B5">
              <w:rPr>
                <w:rFonts w:ascii="Source Sans Pro Light" w:hAnsi="Source Sans Pro Light" w:cs="Times New Roman"/>
                <w:bCs/>
                <w:lang w:val="en-GB"/>
              </w:rPr>
              <w:t>1 hour</w:t>
            </w:r>
          </w:p>
          <w:p w14:paraId="75880F88" w14:textId="20EA642B" w:rsidR="007D7083" w:rsidRPr="006606B5" w:rsidRDefault="007D7083" w:rsidP="007D7083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lang w:val="en-GB"/>
              </w:rPr>
              <w:t>Lesson 3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BFB4" w14:textId="43A7A933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A83A" w14:textId="77777777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Perspectives of economic development in the Arctic and its impact: extraction of natural resources, shipping, tourism</w:t>
            </w:r>
          </w:p>
          <w:p w14:paraId="536F5181" w14:textId="2A70282A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981A" w14:textId="3F5F9229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2045" w14:textId="1233F52A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S3 2-10 </w:t>
            </w:r>
          </w:p>
        </w:tc>
      </w:tr>
      <w:tr w:rsidR="007D7083" w:rsidRPr="0094230F" w14:paraId="4E5BB7D5" w14:textId="77777777" w:rsidTr="00A01197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49EDB1" w14:textId="77777777" w:rsidR="007D7083" w:rsidRPr="00F57135" w:rsidRDefault="007D7083" w:rsidP="007D7083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5EB1" w14:textId="25FEAACB" w:rsidR="007D7083" w:rsidRPr="00F57135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7968" w14:textId="1EE10020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3ABC" w14:textId="68198126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Discussion of three articles on those topics read by the students in advance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21BA" w14:textId="24FE68CD" w:rsidR="007D7083" w:rsidRPr="007D7083" w:rsidRDefault="007D7083" w:rsidP="007D7083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S3 11</w:t>
            </w:r>
          </w:p>
        </w:tc>
      </w:tr>
      <w:tr w:rsidR="007D7083" w:rsidRPr="00E63D81" w14:paraId="393D5F64" w14:textId="77777777" w:rsidTr="001B681D">
        <w:trPr>
          <w:trHeight w:val="746"/>
        </w:trPr>
        <w:tc>
          <w:tcPr>
            <w:tcW w:w="1768" w:type="dxa"/>
            <w:tcBorders>
              <w:left w:val="single" w:sz="8" w:space="0" w:color="000000"/>
              <w:right w:val="single" w:sz="8" w:space="0" w:color="000000"/>
            </w:tcBorders>
          </w:tcPr>
          <w:p w14:paraId="4ED0CBA9" w14:textId="77777777" w:rsidR="007D7083" w:rsidRPr="00F57135" w:rsidRDefault="007D7083" w:rsidP="007D7083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17C7" w14:textId="77777777" w:rsidR="007D7083" w:rsidRPr="007D7083" w:rsidRDefault="007D7083" w:rsidP="007D7083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Self-study material for lesson 3:</w:t>
            </w:r>
          </w:p>
          <w:p w14:paraId="5247F872" w14:textId="5095B2E8" w:rsidR="007D7083" w:rsidRPr="007D7083" w:rsidRDefault="007D7083" w:rsidP="007D7083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Resources in the Arctic, map provided by </w:t>
            </w:r>
            <w:proofErr w:type="spellStart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Nordregio</w:t>
            </w:r>
            <w:proofErr w:type="spellEnd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, available at: </w:t>
            </w:r>
            <w:hyperlink r:id="rId11" w:history="1">
              <w:r w:rsidRPr="007D7083">
                <w:rPr>
                  <w:rFonts w:ascii="Source Sans Pro Light" w:hAnsi="Source Sans Pro Light" w:cs="Times New Roman"/>
                  <w:bCs/>
                  <w:color w:val="0070C0"/>
                  <w:u w:val="single"/>
                  <w:lang w:val="en-GB"/>
                </w:rPr>
                <w:t>https://nordregio.org/maps/resources-in-the-arctic-2019/</w:t>
              </w:r>
            </w:hyperlink>
            <w:r w:rsidRPr="007D7083">
              <w:rPr>
                <w:rFonts w:ascii="Source Sans Pro Light" w:hAnsi="Source Sans Pro Light" w:cs="Times New Roman"/>
                <w:bCs/>
                <w:color w:val="0070C0"/>
                <w:lang w:val="en-GB"/>
              </w:rPr>
              <w:t xml:space="preserve"> </w:t>
            </w:r>
          </w:p>
          <w:p w14:paraId="2E130E5F" w14:textId="19FD5516" w:rsidR="007D7083" w:rsidRPr="007D7083" w:rsidRDefault="007D7083" w:rsidP="007D70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color w:val="0070C0"/>
                <w:u w:val="single"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Sea Routes and Ports in the Arctic, map provided by </w:t>
            </w:r>
            <w:proofErr w:type="spellStart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>Nordregio</w:t>
            </w:r>
            <w:proofErr w:type="spellEnd"/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, available at: </w:t>
            </w:r>
            <w:hyperlink r:id="rId12" w:history="1">
              <w:r w:rsidRPr="007D7083">
                <w:rPr>
                  <w:rFonts w:ascii="Source Sans Pro Light" w:hAnsi="Source Sans Pro Light" w:cs="Times New Roman"/>
                  <w:bCs/>
                  <w:color w:val="0070C0"/>
                  <w:u w:val="single"/>
                  <w:lang w:val="en-GB"/>
                </w:rPr>
                <w:t>https://nordregio.org/maps/sea-routes-and-ports-in-the-arctic/</w:t>
              </w:r>
            </w:hyperlink>
            <w:r w:rsidRPr="007D7083">
              <w:rPr>
                <w:rFonts w:ascii="Source Sans Pro Light" w:hAnsi="Source Sans Pro Light" w:cs="Times New Roman"/>
                <w:bCs/>
                <w:color w:val="0070C0"/>
                <w:u w:val="single"/>
                <w:lang w:val="en-GB"/>
              </w:rPr>
              <w:t xml:space="preserve"> </w:t>
            </w:r>
          </w:p>
          <w:p w14:paraId="396A2C97" w14:textId="601E6D3F" w:rsidR="007D7083" w:rsidRPr="007D7083" w:rsidRDefault="007D7083" w:rsidP="007D70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Arctic Tourism in Times of Change: Dimensions of Urban Tourism (2020), pdf available at: </w:t>
            </w:r>
            <w:hyperlink r:id="rId13" w:history="1">
              <w:r w:rsidRPr="007D7083">
                <w:rPr>
                  <w:rFonts w:ascii="Source Sans Pro Light" w:hAnsi="Source Sans Pro Light" w:cs="Times New Roman"/>
                  <w:bCs/>
                  <w:color w:val="0070C0"/>
                  <w:u w:val="single"/>
                  <w:lang w:val="en-GB"/>
                </w:rPr>
                <w:t>https://pub.norden.org/temanord2020-529/</w:t>
              </w:r>
            </w:hyperlink>
            <w:r w:rsidRPr="007D7083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8D2688" w:rsidRPr="0094230F" w14:paraId="28504289" w14:textId="77777777" w:rsidTr="006606B5">
        <w:trPr>
          <w:trHeight w:val="746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BAD7894" w14:textId="2D3ACBE7" w:rsidR="008D2688" w:rsidRPr="006606B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1 </w:t>
            </w:r>
            <w:r w:rsidRPr="006606B5">
              <w:rPr>
                <w:rFonts w:ascii="Source Sans Pro Light" w:hAnsi="Source Sans Pro Light" w:cs="Times New Roman"/>
                <w:bCs/>
                <w:lang w:val="en-GB"/>
              </w:rPr>
              <w:t>hour</w:t>
            </w:r>
          </w:p>
          <w:p w14:paraId="67933580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5785747" w14:textId="7EBCD4C0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4</w:t>
            </w:r>
            <w:r w:rsidRPr="006606B5"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0839" w14:textId="7EECC811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25 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AA5B" w14:textId="7FAE9380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Geopolitical impact of climate change in the Arctic: presentation by teacher of some principal issues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5B26" w14:textId="77777777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AE3D" w14:textId="6D5DE3B5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 S4 2-14</w:t>
            </w:r>
          </w:p>
        </w:tc>
      </w:tr>
      <w:tr w:rsidR="008D2688" w:rsidRPr="0094230F" w14:paraId="31899477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155C96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9FAA" w14:textId="0A7F62AD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20 min (</w:t>
            </w: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3x 5 minutes for the presentation and 5 min of final remarks)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7C7D" w14:textId="3B320BEC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1208" w14:textId="42D9127E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Discussion in groups of three articles read by all students in advance and presentation of summaries by three groups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ADE3" w14:textId="7C6A0716" w:rsidR="008D2688" w:rsidRPr="008D2688" w:rsidRDefault="008D2688" w:rsidP="008D2688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S4 15 </w:t>
            </w:r>
          </w:p>
        </w:tc>
      </w:tr>
      <w:tr w:rsidR="008D2688" w:rsidRPr="00E63D81" w14:paraId="3D4C9060" w14:textId="77777777" w:rsidTr="001229C7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115926" w14:textId="77777777" w:rsidR="008D2688" w:rsidRPr="00F57135" w:rsidRDefault="008D2688" w:rsidP="006606B5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59EC" w14:textId="07AD5EEF" w:rsidR="008D2688" w:rsidRPr="008D2688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Self-study material for lesson 4:</w:t>
            </w:r>
          </w:p>
          <w:p w14:paraId="3FE1321E" w14:textId="0C72C915" w:rsidR="008D2688" w:rsidRPr="008D2688" w:rsidRDefault="008D2688" w:rsidP="008D2688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proofErr w:type="spellStart"/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Gricius</w:t>
            </w:r>
            <w:proofErr w:type="spellEnd"/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, G. (2021) ‘Geopolitical Implications of New Arctic Shipping Lanes’, The Arctic Institute, </w:t>
            </w:r>
            <w:hyperlink r:id="rId14" w:history="1">
              <w:r w:rsidRPr="00140C54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https://www.thearcticinstitute.org/geopolitical-implications-arctic-shipping-lanes/?cn-reloaded=1</w:t>
              </w:r>
            </w:hyperlink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8D2688" w:rsidRPr="00F57135" w14:paraId="64734DA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7E4CE" w14:textId="2EF60C30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1 </w:t>
            </w:r>
            <w:r w:rsidR="004F6918">
              <w:rPr>
                <w:rFonts w:ascii="Source Sans Pro Light" w:hAnsi="Source Sans Pro Light" w:cs="Times New Roman"/>
                <w:bCs/>
                <w:lang w:val="en-GB"/>
              </w:rPr>
              <w:t>h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our</w:t>
            </w:r>
          </w:p>
          <w:p w14:paraId="22B15F0C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9980948" w14:textId="5C21EAD3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 xml:space="preserve">Lesson 5 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22FD" w14:textId="5C6C55DB" w:rsidR="008D2688" w:rsidRPr="00F24781" w:rsidRDefault="008D2688" w:rsidP="008D2688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gramStart"/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0 </w:t>
            </w:r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  <w:proofErr w:type="gramEnd"/>
          </w:p>
          <w:p w14:paraId="28A8D24B" w14:textId="28CFA2F4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134B" w14:textId="62BA3502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The Right to be Cold: presentation by teacher of indigenous points-of-view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9035" w14:textId="606AA2BC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67C3" w14:textId="1408568B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 2</w:t>
            </w:r>
          </w:p>
        </w:tc>
      </w:tr>
      <w:tr w:rsidR="008D2688" w:rsidRPr="0094230F" w14:paraId="5F3FBA7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6C0C8" w14:textId="77777777" w:rsidR="008D2688" w:rsidRPr="00F57135" w:rsidRDefault="008D2688" w:rsidP="008D268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C94" w14:textId="3572B364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t>3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5 </w:t>
            </w:r>
            <w:r w:rsidRPr="00F24781">
              <w:rPr>
                <w:rFonts w:ascii="Source Sans Pro Light" w:hAnsi="Source Sans Pro Light" w:cs="Times New Roman"/>
                <w:bCs/>
                <w:lang w:val="en-GB"/>
              </w:rPr>
              <w:t>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B59" w14:textId="36C25A6A" w:rsidR="008D2688" w:rsidRPr="00F24781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7AE3" w14:textId="564702FD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>Students present individually or in pairs (depending on the number of students) an article or documentary they have read/seen at home about perceptions of climate change in the Arctic – examples provided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3173" w14:textId="5E2815A4" w:rsidR="008D2688" w:rsidRPr="00F57135" w:rsidRDefault="008D2688" w:rsidP="008D26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8D2688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 3-8</w:t>
            </w:r>
          </w:p>
        </w:tc>
      </w:tr>
      <w:tr w:rsidR="006A5625" w:rsidRPr="00E63D81" w14:paraId="076FB7C8" w14:textId="77777777" w:rsidTr="00FF77F0">
        <w:trPr>
          <w:trHeight w:val="332"/>
        </w:trPr>
        <w:tc>
          <w:tcPr>
            <w:tcW w:w="17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1D436E3" w14:textId="0F8DE1D8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54A7795" w14:textId="77777777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4DA7628" w14:textId="19ACA6F6" w:rsidR="006A5625" w:rsidRPr="00F57135" w:rsidRDefault="006A5625" w:rsidP="00F24781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1433" w14:textId="77777777" w:rsidR="006A5625" w:rsidRPr="006A5625" w:rsidRDefault="006A5625" w:rsidP="006A5625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Self-study material for lesson 5:</w:t>
            </w:r>
          </w:p>
          <w:p w14:paraId="2613B482" w14:textId="086ED324" w:rsidR="006A5625" w:rsidRPr="006A5625" w:rsidRDefault="006A5625" w:rsidP="006A5625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NUNUVUT Climate Change Centre</w:t>
            </w:r>
          </w:p>
          <w:p w14:paraId="5D0099BE" w14:textId="5B0A8E91" w:rsidR="006A5625" w:rsidRPr="006A5625" w:rsidRDefault="00FD74F9" w:rsidP="006A5625">
            <w:pPr>
              <w:pStyle w:val="ListParagraph"/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hyperlink r:id="rId15" w:history="1">
              <w:r w:rsidR="006A5625" w:rsidRPr="00140C54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https://climatechangenunavut.ca/en/understanding-climate-change/climate-change-impact</w:t>
              </w:r>
            </w:hyperlink>
            <w:r w:rsidR="006A562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6A5625" w:rsidRPr="006A562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7B1708E7" w14:textId="7EE1F1C4" w:rsidR="006A5625" w:rsidRPr="006A5625" w:rsidRDefault="006A5625" w:rsidP="006A5625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Sheila Watt-Cloutier: « It’s time to listen to the Inuit on climate change »: (</w:t>
            </w:r>
            <w:hyperlink r:id="rId16" w:history="1">
              <w:r w:rsidRPr="00140C54">
                <w:rPr>
                  <w:rStyle w:val="Hyperlink"/>
                  <w:rFonts w:ascii="Source Sans Pro Light" w:hAnsi="Source Sans Pro Light" w:cs="Times New Roman"/>
                  <w:bCs/>
                  <w:lang w:val="en-GB"/>
                </w:rPr>
                <w:t>https://www.canadiangeographic.ca/article/its-time-listen-inuit-climate-change</w:t>
              </w:r>
            </w:hyperlink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)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226E95A6" w14:textId="3BA743EC" w:rsidR="006A5625" w:rsidRPr="006A5625" w:rsidRDefault="006A5625" w:rsidP="006A5625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fr-LU"/>
              </w:rPr>
            </w:pPr>
            <w:proofErr w:type="spellStart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>Cunera</w:t>
            </w:r>
            <w:proofErr w:type="spellEnd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 xml:space="preserve"> </w:t>
            </w:r>
            <w:proofErr w:type="spellStart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>Buijs</w:t>
            </w:r>
            <w:proofErr w:type="spellEnd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 xml:space="preserve">: Inuit perceptions of </w:t>
            </w:r>
            <w:proofErr w:type="spellStart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>climate</w:t>
            </w:r>
            <w:proofErr w:type="spellEnd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 xml:space="preserve"> change in East </w:t>
            </w:r>
            <w:proofErr w:type="spellStart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>GreenlandPerceptions</w:t>
            </w:r>
            <w:proofErr w:type="spellEnd"/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 xml:space="preserve"> inuit du changement climatique dans l’Est du Groenland (</w:t>
            </w:r>
            <w:hyperlink r:id="rId17" w:history="1">
              <w:r w:rsidRPr="00140C54">
                <w:rPr>
                  <w:rStyle w:val="Hyperlink"/>
                  <w:rFonts w:ascii="Source Sans Pro Light" w:hAnsi="Source Sans Pro Light" w:cs="Times New Roman"/>
                  <w:bCs/>
                  <w:lang w:val="fr-LU"/>
                </w:rPr>
                <w:t>https://www.erudit.org/en/journals/etudinuit/2010-v34-n1-etudinuit3992/045403ar.pdf</w:t>
              </w:r>
            </w:hyperlink>
            <w:r w:rsidRPr="006A5625">
              <w:rPr>
                <w:rFonts w:ascii="Source Sans Pro Light" w:hAnsi="Source Sans Pro Light" w:cs="Times New Roman"/>
                <w:bCs/>
                <w:lang w:val="fr-LU"/>
              </w:rPr>
              <w:t>)</w:t>
            </w:r>
            <w:r>
              <w:rPr>
                <w:rFonts w:ascii="Source Sans Pro Light" w:hAnsi="Source Sans Pro Light" w:cs="Times New Roman"/>
                <w:bCs/>
                <w:lang w:val="fr-LU"/>
              </w:rPr>
              <w:t xml:space="preserve"> </w:t>
            </w:r>
          </w:p>
        </w:tc>
      </w:tr>
      <w:tr w:rsidR="006A5625" w:rsidRPr="00414D6B" w14:paraId="43C770EA" w14:textId="77777777" w:rsidTr="006B442C">
        <w:trPr>
          <w:trHeight w:val="746"/>
        </w:trPr>
        <w:tc>
          <w:tcPr>
            <w:tcW w:w="17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480C02" w14:textId="6A51CF74" w:rsidR="006A5625" w:rsidRPr="00F24781" w:rsidRDefault="006A5625" w:rsidP="006A5625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Homework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6185" w14:textId="74049E3E" w:rsidR="006A5625" w:rsidRPr="00F57135" w:rsidRDefault="006A5625" w:rsidP="006A5625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B3E0" w14:textId="5F90805D" w:rsidR="006A5625" w:rsidRPr="00F57135" w:rsidRDefault="006A5625" w:rsidP="006A5625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883F" w14:textId="048AD740" w:rsidR="006A5625" w:rsidRPr="00F57135" w:rsidRDefault="006A5625" w:rsidP="006A5625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3A2" w14:textId="1F1E69C9" w:rsidR="006A5625" w:rsidRPr="00F57135" w:rsidRDefault="006A5625" w:rsidP="006A5625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 9</w:t>
            </w:r>
          </w:p>
        </w:tc>
      </w:tr>
      <w:tr w:rsidR="006A5625" w:rsidRPr="00414D6B" w14:paraId="05D1A511" w14:textId="77777777" w:rsidTr="006B442C">
        <w:trPr>
          <w:trHeight w:val="746"/>
        </w:trPr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0E3651" w14:textId="032E29FB" w:rsidR="006A5625" w:rsidRPr="00F24781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Some research projects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8755" w14:textId="1D0D4279" w:rsidR="006A5625" w:rsidRPr="00F24781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B3C7" w14:textId="20BBEFF5" w:rsidR="006A5625" w:rsidRPr="006B442C" w:rsidRDefault="006A5625" w:rsidP="006A5625">
            <w:pPr>
              <w:widowControl w:val="0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A25A" w14:textId="64F145DF" w:rsidR="006A5625" w:rsidRPr="00F24781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0DFF" w14:textId="51538ED0" w:rsidR="006A5625" w:rsidRPr="00F24781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>S5 10</w:t>
            </w:r>
          </w:p>
        </w:tc>
      </w:tr>
      <w:tr w:rsidR="006A5625" w:rsidRPr="00414D6B" w14:paraId="7E91C361" w14:textId="77777777" w:rsidTr="006B442C">
        <w:trPr>
          <w:trHeight w:val="746"/>
        </w:trPr>
        <w:tc>
          <w:tcPr>
            <w:tcW w:w="17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4D0F55" w14:textId="28AF9DB7" w:rsidR="006A5625" w:rsidRPr="00F24781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Food for thought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F3C4" w14:textId="74423671" w:rsidR="006A5625" w:rsidRPr="006B442C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6F69" w14:textId="2B2F7966" w:rsidR="006A5625" w:rsidRPr="006B442C" w:rsidRDefault="006A5625" w:rsidP="006A5625">
            <w:pPr>
              <w:widowControl w:val="0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EB61" w14:textId="57510AB5" w:rsidR="006A5625" w:rsidRPr="006B442C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D916" w14:textId="22AD59A7" w:rsidR="006A5625" w:rsidRPr="006B442C" w:rsidRDefault="006A5625" w:rsidP="006A5625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A562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26027E">
              <w:rPr>
                <w:rFonts w:ascii="Source Sans Pro Light" w:hAnsi="Source Sans Pro Light" w:cs="Times New Roman"/>
                <w:bCs/>
                <w:lang w:val="en-GB"/>
              </w:rPr>
              <w:t xml:space="preserve"> S5 11</w:t>
            </w: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18"/>
      <w:footerReference w:type="even" r:id="rId19"/>
      <w:footerReference w:type="default" r:id="rId20"/>
      <w:headerReference w:type="first" r:id="rId21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38DD6" w14:textId="77777777" w:rsidR="00FD74F9" w:rsidRDefault="00FD74F9" w:rsidP="00094809">
      <w:pPr>
        <w:spacing w:after="0" w:line="240" w:lineRule="auto"/>
      </w:pPr>
      <w:r>
        <w:separator/>
      </w:r>
    </w:p>
  </w:endnote>
  <w:endnote w:type="continuationSeparator" w:id="0">
    <w:p w14:paraId="539EC3A1" w14:textId="77777777" w:rsidR="00FD74F9" w:rsidRDefault="00FD74F9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 Light">
    <w:panose1 w:val="020B0604020202020204"/>
    <w:charset w:val="4D"/>
    <w:family w:val="swiss"/>
    <w:pitch w:val="variable"/>
    <w:sig w:usb0="20000007" w:usb1="00000001" w:usb2="00000000" w:usb3="00000000" w:csb0="00000193" w:csb1="00000000"/>
  </w:font>
  <w:font w:name="Source Sans Pro">
    <w:panose1 w:val="020B0403030403090204"/>
    <w:charset w:val="4D"/>
    <w:family w:val="swiss"/>
    <w:pitch w:val="variable"/>
    <w:sig w:usb0="20000007" w:usb1="00000001" w:usb2="00000000" w:usb3="00000000" w:csb0="00000193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5D7C" w14:textId="77777777" w:rsidR="00FD74F9" w:rsidRDefault="00FD74F9" w:rsidP="00094809">
      <w:pPr>
        <w:spacing w:after="0" w:line="240" w:lineRule="auto"/>
      </w:pPr>
      <w:r>
        <w:separator/>
      </w:r>
    </w:p>
  </w:footnote>
  <w:footnote w:type="continuationSeparator" w:id="0">
    <w:p w14:paraId="250EE3C3" w14:textId="77777777" w:rsidR="00FD74F9" w:rsidRDefault="00FD74F9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B5"/>
    <w:multiLevelType w:val="hybridMultilevel"/>
    <w:tmpl w:val="65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B193F"/>
    <w:multiLevelType w:val="hybridMultilevel"/>
    <w:tmpl w:val="BBFA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07767"/>
    <w:multiLevelType w:val="hybridMultilevel"/>
    <w:tmpl w:val="C97E8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C3A3B"/>
    <w:multiLevelType w:val="hybridMultilevel"/>
    <w:tmpl w:val="0770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91793"/>
    <w:multiLevelType w:val="hybridMultilevel"/>
    <w:tmpl w:val="0854CD12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E9D"/>
    <w:multiLevelType w:val="hybridMultilevel"/>
    <w:tmpl w:val="EB06F1C8"/>
    <w:lvl w:ilvl="0" w:tplc="5038FBF0">
      <w:start w:val="15"/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F4C83"/>
    <w:multiLevelType w:val="hybridMultilevel"/>
    <w:tmpl w:val="E72AD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B81B82"/>
    <w:multiLevelType w:val="hybridMultilevel"/>
    <w:tmpl w:val="EB3E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3680E"/>
    <w:multiLevelType w:val="hybridMultilevel"/>
    <w:tmpl w:val="5D980284"/>
    <w:lvl w:ilvl="0" w:tplc="F760A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A7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2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81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65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C4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EF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AC2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10"/>
  </w:num>
  <w:num w:numId="2" w16cid:durableId="1129858418">
    <w:abstractNumId w:val="4"/>
  </w:num>
  <w:num w:numId="3" w16cid:durableId="554657985">
    <w:abstractNumId w:val="1"/>
  </w:num>
  <w:num w:numId="4" w16cid:durableId="1314290131">
    <w:abstractNumId w:val="11"/>
  </w:num>
  <w:num w:numId="5" w16cid:durableId="115805729">
    <w:abstractNumId w:val="5"/>
  </w:num>
  <w:num w:numId="6" w16cid:durableId="140464483">
    <w:abstractNumId w:val="15"/>
  </w:num>
  <w:num w:numId="7" w16cid:durableId="1564755632">
    <w:abstractNumId w:val="2"/>
  </w:num>
  <w:num w:numId="8" w16cid:durableId="1719280290">
    <w:abstractNumId w:val="12"/>
  </w:num>
  <w:num w:numId="9" w16cid:durableId="1697730438">
    <w:abstractNumId w:val="14"/>
  </w:num>
  <w:num w:numId="10" w16cid:durableId="440419335">
    <w:abstractNumId w:val="7"/>
  </w:num>
  <w:num w:numId="11" w16cid:durableId="2083482057">
    <w:abstractNumId w:val="0"/>
  </w:num>
  <w:num w:numId="12" w16cid:durableId="1511868002">
    <w:abstractNumId w:val="13"/>
  </w:num>
  <w:num w:numId="13" w16cid:durableId="1174611778">
    <w:abstractNumId w:val="9"/>
  </w:num>
  <w:num w:numId="14" w16cid:durableId="99759652">
    <w:abstractNumId w:val="6"/>
  </w:num>
  <w:num w:numId="15" w16cid:durableId="1249732150">
    <w:abstractNumId w:val="8"/>
  </w:num>
  <w:num w:numId="16" w16cid:durableId="778991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8217E"/>
    <w:rsid w:val="00094809"/>
    <w:rsid w:val="00110FE9"/>
    <w:rsid w:val="001D3ECA"/>
    <w:rsid w:val="00201956"/>
    <w:rsid w:val="00252B92"/>
    <w:rsid w:val="00253945"/>
    <w:rsid w:val="0026027E"/>
    <w:rsid w:val="002710CA"/>
    <w:rsid w:val="00281AD8"/>
    <w:rsid w:val="0033425C"/>
    <w:rsid w:val="003779E5"/>
    <w:rsid w:val="003C2227"/>
    <w:rsid w:val="00414D6B"/>
    <w:rsid w:val="004C02D2"/>
    <w:rsid w:val="004D4102"/>
    <w:rsid w:val="004F6918"/>
    <w:rsid w:val="00517F47"/>
    <w:rsid w:val="00523A2E"/>
    <w:rsid w:val="00546523"/>
    <w:rsid w:val="0055592C"/>
    <w:rsid w:val="006033AB"/>
    <w:rsid w:val="006411D0"/>
    <w:rsid w:val="006606B5"/>
    <w:rsid w:val="00671384"/>
    <w:rsid w:val="006A2789"/>
    <w:rsid w:val="006A5625"/>
    <w:rsid w:val="006B0542"/>
    <w:rsid w:val="006B442C"/>
    <w:rsid w:val="007A5C9A"/>
    <w:rsid w:val="007D7083"/>
    <w:rsid w:val="00800766"/>
    <w:rsid w:val="008036EE"/>
    <w:rsid w:val="00870838"/>
    <w:rsid w:val="00897E72"/>
    <w:rsid w:val="008A0FAA"/>
    <w:rsid w:val="008D2688"/>
    <w:rsid w:val="008D3020"/>
    <w:rsid w:val="0094230F"/>
    <w:rsid w:val="00960382"/>
    <w:rsid w:val="009B20C1"/>
    <w:rsid w:val="009F1D20"/>
    <w:rsid w:val="00A3442E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3D81"/>
    <w:rsid w:val="00E65035"/>
    <w:rsid w:val="00F24781"/>
    <w:rsid w:val="00F41AE4"/>
    <w:rsid w:val="00F57135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1384"/>
    <w:rPr>
      <w:rFonts w:ascii="Century Gothic" w:hAnsi="Century Gothic"/>
      <w:b w:val="0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britishmuseum.org/an-introduction-to-the-arctic/" TargetMode="External"/><Relationship Id="rId13" Type="http://schemas.openxmlformats.org/officeDocument/2006/relationships/hyperlink" Target="https://pub.norden.org/temanord2020-529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nordregio.org/maps/sea-routes-and-ports-in-the-arctic/" TargetMode="External"/><Relationship Id="rId17" Type="http://schemas.openxmlformats.org/officeDocument/2006/relationships/hyperlink" Target="https://www.erudit.org/en/journals/etudinuit/2010-v34-n1-etudinuit3992/045403a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adiangeographic.ca/article/its-time-listen-inuit-climate-chang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dregio.org/maps/resources-in-the-arctic-201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imatechangenunavut.ca/en/understanding-climate-change/climate-change-impac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aarchive.arctic-council.org/handle/11374/262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lets.arcticportal.org/where-is-the-arctic" TargetMode="External"/><Relationship Id="rId14" Type="http://schemas.openxmlformats.org/officeDocument/2006/relationships/hyperlink" Target="https://www.thearcticinstitute.org/geopolitical-implications-arctic-shipping-lanes/?cn-reloaded=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6</cp:revision>
  <dcterms:created xsi:type="dcterms:W3CDTF">2022-04-15T14:03:00Z</dcterms:created>
  <dcterms:modified xsi:type="dcterms:W3CDTF">2022-05-21T20:19:00Z</dcterms:modified>
</cp:coreProperties>
</file>